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Excel para GQM + PRAGMATIC, IGM y ROI</w:t>
      </w:r>
    </w:p>
    <w:p>
      <w:r>
        <w:t>Descripción estructurada para implementar el modelo en Excel/LibreOffice.</w:t>
      </w:r>
    </w:p>
    <w:p>
      <w:pPr>
        <w:pStyle w:val="Heading2"/>
        <w:keepNext/>
        <w:keepLines/>
      </w:pPr>
      <w:r>
        <w:rPr>
          <w:color w:val="0066CC"/>
        </w:rPr>
        <w:t>1. Estructura del libro</w:t>
      </w:r>
    </w:p>
    <w:p>
      <w:r>
        <w:t>Hojas recomendadas:</w:t>
      </w:r>
    </w:p>
    <w:p>
      <w:pPr>
        <w:pStyle w:val="ListNumber"/>
        <w:keepLines w:val="1"/>
        <w:keepNext w:val="1"/>
        <w:widowControl w:val="1"/>
      </w:pPr>
      <w:r>
        <w:t>Objetivos_GQM</w:t>
      </w:r>
    </w:p>
    <w:p>
      <w:pPr>
        <w:pStyle w:val="ListNumber"/>
        <w:keepLines w:val="1"/>
        <w:keepNext w:val="1"/>
        <w:widowControl w:val="1"/>
      </w:pPr>
      <w:r>
        <w:t>PRAGMATIC</w:t>
      </w:r>
    </w:p>
    <w:p>
      <w:pPr>
        <w:pStyle w:val="ListNumber"/>
        <w:keepLines w:val="1"/>
        <w:keepNext w:val="1"/>
        <w:widowControl w:val="1"/>
      </w:pPr>
      <w:r>
        <w:t>IGM</w:t>
      </w:r>
    </w:p>
    <w:p>
      <w:pPr>
        <w:pStyle w:val="ListNumber"/>
        <w:keepLines w:val="1"/>
        <w:widowControl w:val="1"/>
      </w:pPr>
      <w:r>
        <w:t>ROI</w:t>
      </w:r>
    </w:p>
    <w:p>
      <w:pPr>
        <w:pStyle w:val="Heading2"/>
        <w:keepNext/>
        <w:keepLines/>
      </w:pPr>
      <w:r>
        <w:rPr>
          <w:color w:val="0066CC"/>
        </w:rPr>
        <w:t>2. Hoja Objetivos_GQM</w:t>
      </w:r>
    </w:p>
    <w:p>
      <w:r>
        <w:t>Cada fila representa una métrica derivada de un objetivo y una pregunta.</w:t>
      </w:r>
    </w:p>
    <w:p>
      <w:r>
        <w:t>Columnas sugeridas:</w:t>
      </w:r>
    </w:p>
    <w:p>
      <w:pPr>
        <w:pStyle w:val="ListBullet"/>
        <w:keepLines w:val="1"/>
        <w:keepNext w:val="1"/>
        <w:widowControl w:val="1"/>
      </w:pPr>
      <w:r>
        <w:t>ID_G – p. ej., G1, G2…</w:t>
      </w:r>
    </w:p>
    <w:p>
      <w:pPr>
        <w:pStyle w:val="ListBullet"/>
        <w:keepLines w:val="1"/>
        <w:keepNext w:val="1"/>
        <w:widowControl w:val="1"/>
      </w:pPr>
      <w:r>
        <w:t>Descripcion_G</w:t>
      </w:r>
    </w:p>
    <w:p>
      <w:pPr>
        <w:pStyle w:val="ListBullet"/>
        <w:keepLines w:val="1"/>
        <w:keepNext w:val="1"/>
        <w:widowControl w:val="1"/>
      </w:pPr>
      <w:r>
        <w:t>ID_Q – p. ej., Q1.1, Q1.2…</w:t>
      </w:r>
    </w:p>
    <w:p>
      <w:pPr>
        <w:pStyle w:val="ListBullet"/>
        <w:keepLines w:val="1"/>
        <w:keepNext w:val="1"/>
        <w:widowControl w:val="1"/>
      </w:pPr>
      <w:r>
        <w:t>Descripcion_Q</w:t>
      </w:r>
    </w:p>
    <w:p>
      <w:pPr>
        <w:pStyle w:val="ListBullet"/>
        <w:keepLines w:val="1"/>
        <w:keepNext w:val="1"/>
        <w:widowControl w:val="1"/>
      </w:pPr>
      <w:r>
        <w:t>ID_M – p. ej., M1.1, M2.3…</w:t>
      </w:r>
    </w:p>
    <w:p>
      <w:pPr>
        <w:pStyle w:val="ListBullet"/>
        <w:keepLines w:val="1"/>
        <w:keepNext w:val="1"/>
        <w:widowControl w:val="1"/>
      </w:pPr>
      <w:r>
        <w:t>Descripcion_M</w:t>
      </w:r>
    </w:p>
    <w:p>
      <w:pPr>
        <w:pStyle w:val="ListBullet"/>
        <w:keepLines w:val="1"/>
        <w:keepNext w:val="1"/>
        <w:widowControl w:val="1"/>
      </w:pPr>
      <w:r>
        <w:t>Formula_M – descripción en texto de cómo se calcula.</w:t>
      </w:r>
    </w:p>
    <w:p>
      <w:pPr>
        <w:pStyle w:val="ListBullet"/>
        <w:keepLines w:val="1"/>
        <w:keepNext w:val="1"/>
        <w:widowControl w:val="1"/>
      </w:pPr>
      <w:r>
        <w:t>Unidad – minutos, %, €, etc.</w:t>
      </w:r>
    </w:p>
    <w:p>
      <w:pPr>
        <w:pStyle w:val="ListBullet"/>
        <w:keepLines w:val="1"/>
        <w:keepNext w:val="1"/>
        <w:widowControl w:val="1"/>
      </w:pPr>
      <w:r>
        <w:t>Fuente_Datos – SIEM, ticketing, CMDB, herramienta de riesgo.</w:t>
      </w:r>
    </w:p>
    <w:p>
      <w:pPr>
        <w:pStyle w:val="ListBullet"/>
        <w:keepLines w:val="1"/>
        <w:widowControl w:val="1"/>
      </w:pPr>
      <w:r>
        <w:t>Periodicidad – diaria, semanal, mensual, trimestral.</w:t>
      </w:r>
    </w:p>
    <w:p>
      <w:pPr>
        <w:pStyle w:val="Heading2"/>
        <w:keepNext/>
        <w:keepLines/>
      </w:pPr>
      <w:r>
        <w:rPr>
          <w:color w:val="0066CC"/>
        </w:rPr>
        <w:t>3. Hoja PRAGMATIC</w:t>
      </w:r>
    </w:p>
    <w:p>
      <w:r>
        <w:t>Cada fila es una métrica (ID_M).</w:t>
      </w:r>
    </w:p>
    <w:p>
      <w:r>
        <w:t>Columnas:</w:t>
      </w:r>
    </w:p>
    <w:p>
      <w:pPr>
        <w:pStyle w:val="ListBullet"/>
        <w:keepLines w:val="1"/>
        <w:keepNext w:val="1"/>
        <w:widowControl w:val="1"/>
      </w:pPr>
      <w:r>
        <w:t>ID_M</w:t>
      </w:r>
    </w:p>
    <w:p>
      <w:pPr>
        <w:pStyle w:val="ListBullet"/>
        <w:keepLines w:val="1"/>
        <w:keepNext w:val="1"/>
        <w:widowControl w:val="1"/>
      </w:pPr>
      <w:r>
        <w:t>Descripcion_M</w:t>
      </w:r>
    </w:p>
    <w:p>
      <w:pPr>
        <w:pStyle w:val="ListBullet"/>
        <w:keepLines w:val="1"/>
        <w:keepNext w:val="1"/>
        <w:widowControl w:val="1"/>
      </w:pPr>
      <w:r>
        <w:t>P_Predictivo (0–3)</w:t>
      </w:r>
    </w:p>
    <w:p>
      <w:pPr>
        <w:pStyle w:val="ListBullet"/>
        <w:keepLines w:val="1"/>
        <w:keepNext w:val="1"/>
        <w:widowControl w:val="1"/>
      </w:pPr>
      <w:r>
        <w:t>R_Relevante (0–3)</w:t>
      </w:r>
    </w:p>
    <w:p>
      <w:pPr>
        <w:pStyle w:val="ListBullet"/>
        <w:keepLines w:val="1"/>
        <w:keepNext w:val="1"/>
        <w:widowControl w:val="1"/>
      </w:pPr>
      <w:r>
        <w:t>A_Accionable (0–3)</w:t>
      </w:r>
    </w:p>
    <w:p>
      <w:pPr>
        <w:pStyle w:val="ListBullet"/>
        <w:keepLines w:val="1"/>
        <w:keepNext w:val="1"/>
        <w:widowControl w:val="1"/>
      </w:pPr>
      <w:r>
        <w:t>G_Genuino (0–3)</w:t>
      </w:r>
    </w:p>
    <w:p>
      <w:pPr>
        <w:pStyle w:val="ListBullet"/>
        <w:keepLines w:val="1"/>
        <w:keepNext w:val="1"/>
        <w:widowControl w:val="1"/>
      </w:pPr>
      <w:r>
        <w:t>M_Significativo (0–3)</w:t>
      </w:r>
    </w:p>
    <w:p>
      <w:pPr>
        <w:pStyle w:val="ListBullet"/>
        <w:keepLines w:val="1"/>
        <w:keepNext w:val="1"/>
        <w:widowControl w:val="1"/>
      </w:pPr>
      <w:r>
        <w:t>P2_Preciso (0–3)</w:t>
      </w:r>
    </w:p>
    <w:p>
      <w:pPr>
        <w:pStyle w:val="ListBullet"/>
        <w:keepLines w:val="1"/>
        <w:keepNext w:val="1"/>
        <w:widowControl w:val="1"/>
      </w:pPr>
      <w:r>
        <w:t>T_Oportuno (0–3)</w:t>
      </w:r>
    </w:p>
    <w:p>
      <w:pPr>
        <w:pStyle w:val="ListBullet"/>
        <w:keepLines w:val="1"/>
        <w:keepNext w:val="1"/>
        <w:widowControl w:val="1"/>
      </w:pPr>
      <w:r>
        <w:t>I_Independiente (0–3)</w:t>
      </w:r>
    </w:p>
    <w:p>
      <w:pPr>
        <w:pStyle w:val="ListBullet"/>
        <w:keepLines w:val="1"/>
        <w:keepNext w:val="1"/>
        <w:widowControl w:val="1"/>
      </w:pPr>
      <w:r>
        <w:t>C_Rentable (0–3)</w:t>
      </w:r>
    </w:p>
    <w:p>
      <w:pPr>
        <w:pStyle w:val="ListBullet"/>
        <w:keepLines w:val="1"/>
        <w:keepNext w:val="1"/>
        <w:widowControl w:val="1"/>
      </w:pPr>
      <w:r>
        <w:t>Score_Total = SUMA de los 9 criterios.</w:t>
      </w:r>
    </w:p>
    <w:p>
      <w:pPr>
        <w:pStyle w:val="ListBullet"/>
        <w:keepLines w:val="1"/>
        <w:widowControl w:val="1"/>
      </w:pPr>
      <w:r>
        <w:t>Seleccionada_KPI – Sí/No según umbral definido (por ejemplo, Score_Total ≥ 18).</w:t>
      </w:r>
    </w:p>
    <w:p>
      <w:r>
        <w:t>Opcional:</w:t>
      </w:r>
    </w:p>
    <w:p>
      <w:pPr>
        <w:pStyle w:val="ListBullet"/>
        <w:keepLines w:val="1"/>
        <w:widowControl w:val="1"/>
      </w:pPr>
      <w:r>
        <w:t>Comentario – justificación cualitativa de las puntuaciones.</w:t>
      </w:r>
    </w:p>
    <w:p>
      <w:pPr>
        <w:pStyle w:val="Heading2"/>
        <w:keepNext/>
        <w:keepLines/>
      </w:pPr>
      <w:r>
        <w:rPr>
          <w:color w:val="0066CC"/>
        </w:rPr>
        <w:t>4. Hoja IGM</w:t>
      </w:r>
    </w:p>
    <w:p>
      <w:r>
        <w:t>Objetivo: calcular índices de madurez usando solo métricas con buena puntuación PRAGMATIC.</w:t>
      </w:r>
    </w:p>
    <w:p>
      <w:pPr>
        <w:pStyle w:val="Heading3"/>
        <w:keepNext/>
        <w:keepLines/>
      </w:pPr>
      <w:r>
        <w:t>4.1 Entradas</w:t>
      </w:r>
    </w:p>
    <w:p>
      <w:pPr>
        <w:pStyle w:val="ListBullet"/>
        <w:keepLines w:val="1"/>
        <w:keepNext w:val="1"/>
        <w:widowControl w:val="1"/>
      </w:pPr>
      <w:r>
        <w:t>Referencias a las métricas (ID_M) seleccionadas como KPI.</w:t>
      </w:r>
    </w:p>
    <w:p>
      <w:pPr>
        <w:pStyle w:val="ListBullet"/>
        <w:keepLines w:val="1"/>
        <w:widowControl w:val="1"/>
      </w:pPr>
      <w:r>
        <w:t>Valores de dichas métricas por organización (pueden provenir de la hoja de datos de la encuesta).</w:t>
      </w:r>
    </w:p>
    <w:p>
      <w:pPr>
        <w:pStyle w:val="Heading3"/>
        <w:keepNext/>
        <w:keepLines/>
      </w:pPr>
      <w:r>
        <w:t>4.2 Cálculos</w:t>
      </w:r>
    </w:p>
    <w:p>
      <w:r>
        <w:t>Definir subíndices (columnas):</w:t>
      </w:r>
    </w:p>
    <w:p>
      <w:pPr>
        <w:pStyle w:val="ListBullet"/>
        <w:keepLines w:val="1"/>
        <w:keepNext w:val="1"/>
        <w:widowControl w:val="1"/>
      </w:pPr>
      <w:r>
        <w:t>IGM_G1 – madurez ligada a objetivos de detección/respuesta.</w:t>
      </w:r>
    </w:p>
    <w:p>
      <w:pPr>
        <w:pStyle w:val="ListBullet"/>
        <w:keepLines w:val="1"/>
        <w:keepNext w:val="1"/>
        <w:widowControl w:val="1"/>
      </w:pPr>
      <w:r>
        <w:t>IGM_G2 – madurez en cumplimiento de notificación.</w:t>
      </w:r>
    </w:p>
    <w:p>
      <w:pPr>
        <w:pStyle w:val="ListBullet"/>
        <w:keepLines w:val="1"/>
        <w:keepNext w:val="1"/>
        <w:widowControl w:val="1"/>
      </w:pPr>
      <w:r>
        <w:t>IGM_G3 – madurez en calidad y cobertura.</w:t>
      </w:r>
    </w:p>
    <w:p>
      <w:pPr>
        <w:pStyle w:val="ListBullet"/>
        <w:keepLines w:val="1"/>
        <w:keepNext w:val="1"/>
        <w:widowControl w:val="1"/>
      </w:pPr>
      <w:r>
        <w:t>IGM_G4 – madurez en IA/automatización.</w:t>
      </w:r>
    </w:p>
    <w:p>
      <w:pPr>
        <w:pStyle w:val="ListBullet"/>
        <w:keepLines w:val="1"/>
        <w:widowControl w:val="1"/>
      </w:pPr>
      <w:r>
        <w:t>IGM_G5 – madurez en integración con riesgo/ROI.</w:t>
      </w:r>
    </w:p>
    <w:p>
      <w:r>
        <w:t>Para cada subíndice:</w:t>
      </w:r>
    </w:p>
    <w:p>
      <w:pPr>
        <w:pStyle w:val="ListBullet"/>
        <w:keepLines w:val="1"/>
        <w:keepNext w:val="1"/>
        <w:widowControl w:val="1"/>
      </w:pPr>
      <w:r>
        <w:t>Normalizar las métricas a una escala 0–5 o 0–100.</w:t>
      </w:r>
    </w:p>
    <w:p>
      <w:pPr>
        <w:pStyle w:val="ListBullet"/>
        <w:keepLines w:val="1"/>
        <w:widowControl w:val="1"/>
      </w:pPr>
      <w:r>
        <w:t>Calcular una media ponderada de las métricas seleccionadas.</w:t>
      </w:r>
    </w:p>
    <w:p>
      <w:r>
        <w:t>IGM global por organización: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IGM_Global = (IGM_G1*w1 + IGM_G2*w2 + IGM_G3*w3 + IGM_G4*w4 + IGM_G5*w5) /</w:t>
        <w:br/>
        <w:t xml:space="preserve">             (w1 + w2 + w3 + w4 + w5)</w:t>
        <w:br/>
      </w:r>
    </w:p>
    <w:p>
      <w:r>
        <w:t xml:space="preserve">donde </w:t>
      </w:r>
      <w:r>
        <w:rPr>
          <w:rFonts w:ascii="Courier New" w:hAnsi="Courier New"/>
          <w:sz w:val="18"/>
        </w:rPr>
        <w:t>w1…w5</w:t>
      </w:r>
      <w:r>
        <w:t xml:space="preserve"> son pesos configurables.</w:t>
      </w:r>
    </w:p>
    <w:p>
      <w:pPr>
        <w:pStyle w:val="Heading2"/>
        <w:keepNext/>
        <w:keepLines/>
      </w:pPr>
      <w:r>
        <w:rPr>
          <w:color w:val="0066CC"/>
        </w:rPr>
        <w:t>5. Hoja ROI</w:t>
      </w:r>
    </w:p>
    <w:p>
      <w:r>
        <w:t>Recicla la estructura de ROI de la plantilla anterior, añadiendo referencia a métricas GQM + PRAGMATIC.</w:t>
      </w:r>
    </w:p>
    <w:p>
      <w:r>
        <w:t>Columnas por organización:</w:t>
      </w:r>
    </w:p>
    <w:p>
      <w:pPr>
        <w:pStyle w:val="ListBullet"/>
        <w:keepLines w:val="1"/>
        <w:keepNext w:val="1"/>
        <w:widowControl w:val="1"/>
      </w:pPr>
      <w:r>
        <w:t>Coste_Total_SIEM_SOC_Anual</w:t>
      </w:r>
    </w:p>
    <w:p>
      <w:pPr>
        <w:pStyle w:val="ListBullet"/>
        <w:keepLines w:val="1"/>
        <w:keepNext w:val="1"/>
        <w:widowControl w:val="1"/>
      </w:pPr>
      <w:r>
        <w:t>Beneficio_Total_Estimado (pérdidas evitadas + ahorro por reducción de tiempos).</w:t>
      </w:r>
    </w:p>
    <w:p>
      <w:pPr>
        <w:pStyle w:val="ListBullet"/>
        <w:keepLines w:val="1"/>
        <w:keepNext w:val="1"/>
        <w:widowControl w:val="1"/>
      </w:pPr>
      <w:r>
        <w:t>ROI_Anual = (Beneficio_Total_Estimado – Coste_Total_SIEM_SOC_Anual) / Coste_Total_SIEM_SOC_Anual.</w:t>
      </w:r>
    </w:p>
    <w:p>
      <w:pPr>
        <w:pStyle w:val="ListBullet"/>
        <w:keepLines w:val="1"/>
        <w:keepNext w:val="1"/>
        <w:widowControl w:val="1"/>
      </w:pPr>
      <w:r>
        <w:t>Periodo_Retorno (años).</w:t>
      </w:r>
    </w:p>
    <w:p>
      <w:pPr>
        <w:pStyle w:val="ListBullet"/>
        <w:keepLines w:val="1"/>
        <w:widowControl w:val="1"/>
      </w:pPr>
      <w:r>
        <w:t>Metricas_Clave_Respaldando_ROI – listado de ID_M utilizados (M1.1, M2.2, M5.3, etc.).</w:t>
      </w:r>
    </w:p>
    <w:p>
      <w:pPr>
        <w:pStyle w:val="Heading2"/>
        <w:keepNext/>
        <w:keepLines/>
      </w:pPr>
      <w:r>
        <w:rPr>
          <w:color w:val="0066CC"/>
        </w:rPr>
        <w:t>6. Notas de implementación</w:t>
      </w:r>
    </w:p>
    <w:p>
      <w:pPr>
        <w:pStyle w:val="ListBullet"/>
        <w:keepLines w:val="1"/>
        <w:keepNext w:val="1"/>
        <w:widowControl w:val="1"/>
      </w:pPr>
      <w:r>
        <w:t>Mantener listas desplegables para ID_G, ID_Q, ID_M para evitar errores.</w:t>
      </w:r>
    </w:p>
    <w:p>
      <w:pPr>
        <w:pStyle w:val="ListBullet"/>
        <w:keepLines w:val="1"/>
        <w:keepNext w:val="1"/>
        <w:widowControl w:val="1"/>
      </w:pPr>
      <w:r>
        <w:t>Proteger las celdas de fórmulas críticas.</w:t>
      </w:r>
    </w:p>
    <w:p>
      <w:pPr>
        <w:pStyle w:val="ListBullet"/>
        <w:keepLines w:val="1"/>
        <w:widowControl w:val="1"/>
      </w:pPr>
      <w:r>
        <w:t>Documentar en una hoja adicional (Metodologia) las definiciones exactas de cada métrica.</w:t>
      </w:r>
    </w:p>
    <w:p>
      <w:r>
        <w:rPr>
          <w:i/>
        </w:rPr>
        <w:t>Fin de la plantilla descriptiva.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