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a partir de la Encuesta SIEM</w:t>
      </w:r>
    </w:p>
    <w:p>
      <w:r>
        <w:t>Esta plantilla está descrita en texto Markdown para facilitar su implementación en Excel, LibreOffice o herramientas similares.</w:t>
      </w:r>
    </w:p>
    <w:p>
      <w:pPr>
        <w:pStyle w:val="Heading2"/>
        <w:keepNext/>
        <w:keepLines/>
      </w:pPr>
      <w:r>
        <w:rPr>
          <w:color w:val="0066CC"/>
        </w:rPr>
        <w:t>1. Estructura general del libro</w:t>
      </w:r>
    </w:p>
    <w:p>
      <w:r>
        <w:t>Se recomienda crear un libro con las siguientes hojas:</w:t>
      </w:r>
    </w:p>
    <w:p>
      <w:pPr>
        <w:pStyle w:val="ListNumber"/>
        <w:keepLines w:val="1"/>
        <w:keepNext w:val="1"/>
        <w:widowControl w:val="1"/>
      </w:pPr>
      <w:r>
        <w:t>Datos_Encuesta – Volcado estructurado de respuestas.</w:t>
      </w:r>
    </w:p>
    <w:p>
      <w:pPr>
        <w:pStyle w:val="ListNumber"/>
        <w:keepLines w:val="1"/>
        <w:keepNext w:val="1"/>
        <w:widowControl w:val="1"/>
      </w:pPr>
      <w:r>
        <w:t>IGM_Calculos – Cálculo de índices de madurez.</w:t>
      </w:r>
    </w:p>
    <w:p>
      <w:pPr>
        <w:pStyle w:val="ListNumber"/>
        <w:keepLines w:val="1"/>
        <w:keepNext w:val="1"/>
        <w:widowControl w:val="1"/>
      </w:pPr>
      <w:r>
        <w:t>ROI_Calculos – Estimación de ROI de SIEM/SOC.</w:t>
      </w:r>
    </w:p>
    <w:p>
      <w:pPr>
        <w:pStyle w:val="ListNumber"/>
        <w:keepLines w:val="1"/>
        <w:widowControl w:val="1"/>
      </w:pPr>
      <w:r>
        <w:t>Resultados – Cuadros de mando resumidos para uso ejecutivo.</w:t>
      </w:r>
    </w:p>
    <w:p>
      <w:pPr>
        <w:pStyle w:val="Heading2"/>
        <w:keepNext/>
        <w:keepLines/>
      </w:pPr>
      <w:r>
        <w:rPr>
          <w:color w:val="0066CC"/>
        </w:rPr>
        <w:t>2. Hoja Datos_Encuesta</w:t>
      </w:r>
    </w:p>
    <w:p>
      <w:r>
        <w:t>Cada fila representa una organización encuestada. Cada columna corresponde a un campo relevante de la encuesta.</w:t>
      </w:r>
    </w:p>
    <w:p>
      <w:r>
        <w:t>Ejemplo de columnas (no exhaustivo):</w:t>
      </w:r>
    </w:p>
    <w:p>
      <w:pPr>
        <w:pStyle w:val="ListBullet"/>
        <w:keepLines w:val="1"/>
        <w:keepNext w:val="1"/>
        <w:widowControl w:val="1"/>
      </w:pPr>
      <w:r>
        <w:t>ID_Org – Identificador anónimo.</w:t>
      </w:r>
    </w:p>
    <w:p>
      <w:pPr>
        <w:pStyle w:val="ListBullet"/>
        <w:keepLines w:val="1"/>
        <w:keepNext w:val="1"/>
        <w:widowControl w:val="1"/>
      </w:pPr>
      <w:r>
        <w:t>Sector – Según pregunta 1.1.</w:t>
      </w:r>
    </w:p>
    <w:p>
      <w:pPr>
        <w:pStyle w:val="ListBullet"/>
        <w:keepLines w:val="1"/>
        <w:keepNext w:val="1"/>
        <w:widowControl w:val="1"/>
      </w:pPr>
      <w:r>
        <w:t>Tamano – Rango de empleados (1.3).</w:t>
      </w:r>
    </w:p>
    <w:p>
      <w:pPr>
        <w:pStyle w:val="ListBullet"/>
        <w:keepLines w:val="1"/>
        <w:keepNext w:val="1"/>
        <w:widowControl w:val="1"/>
      </w:pPr>
      <w:r>
        <w:t>Modelo_SOC – Codificación de 1.5.</w:t>
      </w:r>
    </w:p>
    <w:p>
      <w:pPr>
        <w:pStyle w:val="ListBullet"/>
        <w:keepLines w:val="1"/>
        <w:keepNext w:val="1"/>
        <w:widowControl w:val="1"/>
      </w:pPr>
      <w:r>
        <w:t>Sujeta_NIS2 – Valor de 4.1.</w:t>
      </w:r>
    </w:p>
    <w:p>
      <w:pPr>
        <w:pStyle w:val="ListBullet"/>
        <w:keepLines w:val="1"/>
        <w:keepNext w:val="1"/>
        <w:widowControl w:val="1"/>
      </w:pPr>
      <w:r>
        <w:t>Cobertura_Activos_Criticos – Rango de 2.4 (convertido a valor numérico medio del rango).</w:t>
      </w:r>
    </w:p>
    <w:p>
      <w:pPr>
        <w:pStyle w:val="ListBullet"/>
        <w:keepLines w:val="1"/>
        <w:keepNext w:val="1"/>
        <w:widowControl w:val="1"/>
      </w:pPr>
      <w:r>
        <w:t>Madurez_Normalizacion_Datos – Media de sub‑preguntas de 2.5.</w:t>
      </w:r>
    </w:p>
    <w:p>
      <w:pPr>
        <w:pStyle w:val="ListBullet"/>
        <w:keepLines w:val="1"/>
        <w:keepNext w:val="1"/>
        <w:widowControl w:val="1"/>
      </w:pPr>
      <w:r>
        <w:t>Cobertura_MITRE – Rango de 3.3.2 (valor numérico medio del rango).</w:t>
      </w:r>
    </w:p>
    <w:p>
      <w:pPr>
        <w:pStyle w:val="ListBullet"/>
        <w:keepLines w:val="1"/>
        <w:keepNext w:val="1"/>
        <w:widowControl w:val="1"/>
      </w:pPr>
      <w:r>
        <w:t>Medicion_MTTD – Codificación de 3.1.1 (por ejemplo, 1 = no, 2 = ad‑hoc, 3 = formal).</w:t>
      </w:r>
    </w:p>
    <w:p>
      <w:pPr>
        <w:pStyle w:val="ListBullet"/>
        <w:keepLines w:val="1"/>
        <w:keepNext w:val="1"/>
        <w:widowControl w:val="1"/>
      </w:pPr>
      <w:r>
        <w:t>Objetivo_MTTD_Minutos – Valor numérico estimado según 3.1.3.</w:t>
      </w:r>
    </w:p>
    <w:p>
      <w:pPr>
        <w:pStyle w:val="ListBullet"/>
        <w:keepLines w:val="1"/>
        <w:keepNext w:val="1"/>
        <w:widowControl w:val="1"/>
      </w:pPr>
      <w:r>
        <w:t>Medicion_MTTR – Codificación de 3.1.4.</w:t>
      </w:r>
    </w:p>
    <w:p>
      <w:pPr>
        <w:pStyle w:val="ListBullet"/>
        <w:keepLines w:val="1"/>
        <w:keepNext w:val="1"/>
        <w:widowControl w:val="1"/>
      </w:pPr>
      <w:r>
        <w:t>Tasa_Falsos_Positivos – Estimación basada en 3.2.1 y 3.2.2.</w:t>
      </w:r>
    </w:p>
    <w:p>
      <w:pPr>
        <w:pStyle w:val="ListBullet"/>
        <w:keepLines w:val="1"/>
        <w:keepNext w:val="1"/>
        <w:widowControl w:val="1"/>
      </w:pPr>
      <w:r>
        <w:t>Carga_Por_Analista – Si está disponible.</w:t>
      </w:r>
    </w:p>
    <w:p>
      <w:pPr>
        <w:pStyle w:val="ListBullet"/>
        <w:keepLines w:val="1"/>
        <w:keepNext w:val="1"/>
        <w:widowControl w:val="1"/>
      </w:pPr>
      <w:r>
        <w:t>Madurez_Cumplimiento – Derivada de 4.2–4.5.</w:t>
      </w:r>
    </w:p>
    <w:p>
      <w:pPr>
        <w:pStyle w:val="ListBullet"/>
        <w:keepLines w:val="1"/>
        <w:keepNext w:val="1"/>
        <w:widowControl w:val="1"/>
      </w:pPr>
      <w:r>
        <w:t>Uso_IA – Codificación de 5.1.</w:t>
      </w:r>
    </w:p>
    <w:p>
      <w:pPr>
        <w:pStyle w:val="ListBullet"/>
        <w:keepLines w:val="1"/>
        <w:keepNext w:val="1"/>
        <w:widowControl w:val="1"/>
      </w:pPr>
      <w:r>
        <w:t>Uso_SOAR – Codificación de 5.3.</w:t>
      </w:r>
    </w:p>
    <w:p>
      <w:pPr>
        <w:pStyle w:val="ListBullet"/>
        <w:keepLines w:val="1"/>
        <w:keepNext w:val="1"/>
        <w:widowControl w:val="1"/>
      </w:pPr>
      <w:r>
        <w:t>Incidentes_Automatizados – Codificación de 5.4.</w:t>
      </w:r>
    </w:p>
    <w:p>
      <w:pPr>
        <w:pStyle w:val="ListBullet"/>
        <w:keepLines w:val="1"/>
        <w:keepNext w:val="1"/>
        <w:widowControl w:val="1"/>
      </w:pPr>
      <w:r>
        <w:t>Madurez_OT – Derivada de 6.1–6.2.</w:t>
      </w:r>
    </w:p>
    <w:p>
      <w:pPr>
        <w:pStyle w:val="ListBullet"/>
        <w:keepLines w:val="1"/>
        <w:keepNext w:val="1"/>
        <w:widowControl w:val="1"/>
      </w:pPr>
      <w:r>
        <w:t>Madurez_Riesgo – Derivada de 7.1–7.3.</w:t>
      </w:r>
    </w:p>
    <w:p>
      <w:pPr>
        <w:pStyle w:val="ListBullet"/>
        <w:keepLines w:val="1"/>
        <w:keepNext w:val="1"/>
        <w:widowControl w:val="1"/>
      </w:pPr>
      <w:r>
        <w:t>IGM_Autoevaluado – 5.5.</w:t>
      </w:r>
    </w:p>
    <w:p>
      <w:pPr>
        <w:pStyle w:val="ListBullet"/>
        <w:keepLines w:val="1"/>
        <w:widowControl w:val="1"/>
      </w:pPr>
      <w:r>
        <w:t>Otras variables que se consideren útiles.</w:t>
      </w:r>
    </w:p>
    <w:p>
      <w:pPr>
        <w:pStyle w:val="Heading2"/>
        <w:keepNext/>
        <w:keepLines/>
      </w:pPr>
      <w:r>
        <w:rPr>
          <w:color w:val="0066CC"/>
        </w:rPr>
        <w:t>3. Hoja IGM_Calculos</w:t>
      </w:r>
    </w:p>
    <w:p>
      <w:pPr>
        <w:pStyle w:val="Heading3"/>
        <w:keepNext/>
        <w:keepLines/>
      </w:pPr>
      <w:r>
        <w:t>3.1 Definición de subíndices</w:t>
      </w:r>
    </w:p>
    <w:p>
      <w:r>
        <w:t>Sugerencia de columnas de cálculo (por organización):</w:t>
      </w:r>
    </w:p>
    <w:p>
      <w:pPr>
        <w:pStyle w:val="ListBullet"/>
        <w:keepLines w:val="1"/>
        <w:keepNext w:val="1"/>
        <w:widowControl w:val="1"/>
      </w:pPr>
      <w:r>
        <w:t>IGM_Arquitectura:</w:t>
      </w:r>
    </w:p>
    <w:p>
      <w:pPr>
        <w:pStyle w:val="ListBullet"/>
        <w:keepLines w:val="1"/>
        <w:keepNext w:val="1"/>
        <w:widowControl w:val="1"/>
      </w:pPr>
      <w:r>
        <w:t>Fórmula: media de Cobertura_Activos_Criticos, Madurez_Normalizacion_Datos, Cobertura_MITRE (escalados a 0–5).</w:t>
      </w:r>
    </w:p>
    <w:p>
      <w:pPr>
        <w:pStyle w:val="ListBullet"/>
        <w:keepLines w:val="1"/>
        <w:keepNext w:val="1"/>
        <w:widowControl w:val="1"/>
      </w:pPr>
      <w:r>
        <w:t>IGM_Operacion:</w:t>
      </w:r>
    </w:p>
    <w:p>
      <w:pPr>
        <w:pStyle w:val="ListBullet"/>
        <w:keepLines w:val="1"/>
        <w:keepNext w:val="1"/>
        <w:widowControl w:val="1"/>
      </w:pPr>
      <w:r>
        <w:t>Considerar: existencia y formalidad de MTTD/MTTR, objetivos definidos, tasas de falsos positivos y conversión alerta‑incidente.</w:t>
      </w:r>
    </w:p>
    <w:p>
      <w:pPr>
        <w:pStyle w:val="ListBullet"/>
        <w:keepLines w:val="1"/>
        <w:keepNext w:val="1"/>
        <w:widowControl w:val="1"/>
      </w:pPr>
      <w:r>
        <w:t>Ejemplo: asignar un valor 0–5 según una combinación ponderada.</w:t>
      </w:r>
    </w:p>
    <w:p>
      <w:pPr>
        <w:pStyle w:val="ListBullet"/>
        <w:keepLines w:val="1"/>
        <w:keepNext w:val="1"/>
        <w:widowControl w:val="1"/>
      </w:pPr>
      <w:r>
        <w:t>IGM_Cumplimiento:</w:t>
      </w:r>
    </w:p>
    <w:p>
      <w:pPr>
        <w:pStyle w:val="ListBullet"/>
        <w:keepLines w:val="1"/>
        <w:keepNext w:val="1"/>
        <w:widowControl w:val="1"/>
      </w:pPr>
      <w:r>
        <w:t>Basado en Sujeta_NIS2, Madurez_Cumplimiento, uso de SIEM en notificación.</w:t>
      </w:r>
    </w:p>
    <w:p>
      <w:pPr>
        <w:pStyle w:val="ListBullet"/>
        <w:keepLines w:val="1"/>
        <w:keepNext w:val="1"/>
        <w:widowControl w:val="1"/>
      </w:pPr>
      <w:r>
        <w:t>IGM_IA_SOAR:</w:t>
      </w:r>
    </w:p>
    <w:p>
      <w:pPr>
        <w:pStyle w:val="ListBullet"/>
        <w:keepLines w:val="1"/>
        <w:keepNext w:val="1"/>
        <w:widowControl w:val="1"/>
      </w:pPr>
      <w:r>
        <w:t>Basado en Uso_IA, Uso_SOAR, Incidentes_Automatizados.</w:t>
      </w:r>
    </w:p>
    <w:p>
      <w:pPr>
        <w:pStyle w:val="ListBullet"/>
        <w:keepLines w:val="1"/>
        <w:keepNext w:val="1"/>
        <w:widowControl w:val="1"/>
      </w:pPr>
      <w:r>
        <w:t>IGM_OT:</w:t>
      </w:r>
    </w:p>
    <w:p>
      <w:pPr>
        <w:pStyle w:val="ListBullet"/>
        <w:keepLines w:val="1"/>
        <w:keepNext w:val="1"/>
        <w:widowControl w:val="1"/>
      </w:pPr>
      <w:r>
        <w:t>Basado en Madurez_OT.</w:t>
      </w:r>
    </w:p>
    <w:p>
      <w:pPr>
        <w:pStyle w:val="ListBullet"/>
        <w:keepLines w:val="1"/>
        <w:keepNext w:val="1"/>
        <w:widowControl w:val="1"/>
      </w:pPr>
      <w:r>
        <w:t>IGM_Riesgo:</w:t>
      </w:r>
    </w:p>
    <w:p>
      <w:pPr>
        <w:pStyle w:val="ListBullet"/>
        <w:keepLines w:val="1"/>
        <w:widowControl w:val="1"/>
      </w:pPr>
      <w:r>
        <w:t>Basado en Madurez_Riesgo y usos del SIEM para ROI.</w:t>
      </w:r>
    </w:p>
    <w:p>
      <w:pPr>
        <w:pStyle w:val="Heading3"/>
        <w:keepNext/>
        <w:keepLines/>
      </w:pPr>
      <w:r>
        <w:t>3.2 Cálculo del IGM global</w:t>
      </w:r>
    </w:p>
    <w:p>
      <w:r>
        <w:t>Definir pesos (celdas configurables):</w:t>
      </w:r>
    </w:p>
    <w:p>
      <w:pPr>
        <w:pStyle w:val="ListBullet"/>
        <w:keepLines w:val="1"/>
        <w:keepNext w:val="1"/>
        <w:widowControl w:val="1"/>
      </w:pPr>
      <w:r>
        <w:t>Peso_Arquitectura</w:t>
      </w:r>
    </w:p>
    <w:p>
      <w:pPr>
        <w:pStyle w:val="ListBullet"/>
        <w:keepLines w:val="1"/>
        <w:keepNext w:val="1"/>
        <w:widowControl w:val="1"/>
      </w:pPr>
      <w:r>
        <w:t>Peso_Operacion</w:t>
      </w:r>
    </w:p>
    <w:p>
      <w:pPr>
        <w:pStyle w:val="ListBullet"/>
        <w:keepLines w:val="1"/>
        <w:keepNext w:val="1"/>
        <w:widowControl w:val="1"/>
      </w:pPr>
      <w:r>
        <w:t>Peso_Cumplimiento</w:t>
      </w:r>
    </w:p>
    <w:p>
      <w:pPr>
        <w:pStyle w:val="ListBullet"/>
        <w:keepLines w:val="1"/>
        <w:keepNext w:val="1"/>
        <w:widowControl w:val="1"/>
      </w:pPr>
      <w:r>
        <w:t>Peso_IA_SOAR</w:t>
      </w:r>
    </w:p>
    <w:p>
      <w:pPr>
        <w:pStyle w:val="ListBullet"/>
        <w:keepLines w:val="1"/>
        <w:keepNext w:val="1"/>
        <w:widowControl w:val="1"/>
      </w:pPr>
      <w:r>
        <w:t>Peso_OT</w:t>
      </w:r>
    </w:p>
    <w:p>
      <w:pPr>
        <w:pStyle w:val="ListBullet"/>
        <w:keepLines w:val="1"/>
        <w:widowControl w:val="1"/>
      </w:pPr>
      <w:r>
        <w:t>Peso_Riesgo</w:t>
      </w:r>
    </w:p>
    <w:p>
      <w:r>
        <w:t>Ejemplo de fórmula en Excel para la fila 2: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IGM_Global = (IGM_Arquitectura*Peso_Arquitectura +</w:t>
        <w:br/>
        <w:t xml:space="preserve">              IGM_Operacion*Peso_Operacion +</w:t>
        <w:br/>
        <w:t xml:space="preserve">              IGM_Cumplimiento*Peso_Cumplimiento +</w:t>
        <w:br/>
        <w:t xml:space="preserve">              IGM_IA_SOAR*Peso_IA_SOAR +</w:t>
        <w:br/>
        <w:t xml:space="preserve">              IGM_OT*Peso_OT +</w:t>
        <w:br/>
        <w:t xml:space="preserve">              IGM_Riesgo*Peso_Riesgo) /</w:t>
        <w:br/>
        <w:t xml:space="preserve">             (Peso_Arquitectura+Peso_Operacion+Peso_Cumplimiento+</w:t>
        <w:br/>
        <w:t xml:space="preserve">              Peso_IA_SOAR+Peso_OT+Peso_Riesgo)</w:t>
        <w:br/>
      </w:r>
    </w:p>
    <w:p>
      <w:r>
        <w:t>Se recomienda normalizar el resultado a escala 0–100 multiplicando por 20 si los subíndices están en 0–5.</w:t>
      </w:r>
    </w:p>
    <w:p>
      <w:pPr>
        <w:pStyle w:val="Heading2"/>
        <w:keepNext/>
        <w:keepLines/>
      </w:pPr>
      <w:r>
        <w:rPr>
          <w:color w:val="0066CC"/>
        </w:rPr>
        <w:t>4. Hoja ROI_Calculos</w:t>
      </w:r>
    </w:p>
    <w:p>
      <w:pPr>
        <w:pStyle w:val="Heading3"/>
        <w:keepNext/>
        <w:keepLines/>
      </w:pPr>
      <w:r>
        <w:t>4.1 Entradas de coste</w:t>
      </w:r>
    </w:p>
    <w:p>
      <w:r>
        <w:t>Por organización:</w:t>
      </w:r>
    </w:p>
    <w:p>
      <w:pPr>
        <w:pStyle w:val="ListBullet"/>
        <w:keepLines w:val="1"/>
        <w:keepNext w:val="1"/>
        <w:widowControl w:val="1"/>
      </w:pPr>
      <w:r>
        <w:t>Coste_SIEM_Licencias_Anual</w:t>
      </w:r>
    </w:p>
    <w:p>
      <w:pPr>
        <w:pStyle w:val="ListBullet"/>
        <w:keepLines w:val="1"/>
        <w:keepNext w:val="1"/>
        <w:widowControl w:val="1"/>
      </w:pPr>
      <w:r>
        <w:t>Coste_SIEM_Infraestructura_Anual</w:t>
      </w:r>
    </w:p>
    <w:p>
      <w:pPr>
        <w:pStyle w:val="ListBullet"/>
        <w:keepLines w:val="1"/>
        <w:keepNext w:val="1"/>
        <w:widowControl w:val="1"/>
      </w:pPr>
      <w:r>
        <w:t>Coste_SOC_Personal_Anual</w:t>
      </w:r>
    </w:p>
    <w:p>
      <w:pPr>
        <w:pStyle w:val="ListBullet"/>
        <w:keepLines w:val="1"/>
        <w:keepNext w:val="1"/>
        <w:widowControl w:val="1"/>
      </w:pPr>
      <w:r>
        <w:t>Coste_Otras_Herramientas_Relacionadas (EDR, SOAR, etc.)</w:t>
      </w:r>
    </w:p>
    <w:p>
      <w:pPr>
        <w:pStyle w:val="ListBullet"/>
        <w:keepLines w:val="1"/>
        <w:widowControl w:val="1"/>
      </w:pPr>
      <w:r>
        <w:t>Coste_Formacion_y_Consultoria</w:t>
      </w:r>
    </w:p>
    <w:p>
      <w:r>
        <w:t>Calcular:</w:t>
      </w:r>
    </w:p>
    <w:p>
      <w:pPr>
        <w:pStyle w:val="ListBullet"/>
        <w:keepLines w:val="1"/>
        <w:widowControl w:val="1"/>
      </w:pPr>
      <w:r>
        <w:t>Coste_Total_Anual = suma de todos los costes anteriores.</w:t>
      </w:r>
    </w:p>
    <w:p>
      <w:pPr>
        <w:pStyle w:val="Heading3"/>
        <w:keepNext/>
        <w:keepLines/>
      </w:pPr>
      <w:r>
        <w:t>4.2 Entradas de beneficio</w:t>
      </w:r>
    </w:p>
    <w:p>
      <w:r>
        <w:t>Variables a estimar (idealmente con apoyo interno):</w:t>
      </w:r>
    </w:p>
    <w:p>
      <w:pPr>
        <w:pStyle w:val="ListBullet"/>
        <w:keepLines w:val="1"/>
        <w:keepNext w:val="1"/>
        <w:widowControl w:val="1"/>
      </w:pPr>
      <w:r>
        <w:t>Num_Incidentes_Graves_Anual_Antes – referencia histórica.</w:t>
      </w:r>
    </w:p>
    <w:p>
      <w:pPr>
        <w:pStyle w:val="ListBullet"/>
        <w:keepLines w:val="1"/>
        <w:keepNext w:val="1"/>
        <w:widowControl w:val="1"/>
      </w:pPr>
      <w:r>
        <w:t>Num_Incidentes_Graves_Anual_Actual – situación actual.</w:t>
      </w:r>
    </w:p>
    <w:p>
      <w:pPr>
        <w:pStyle w:val="ListBullet"/>
        <w:keepLines w:val="1"/>
        <w:keepNext w:val="1"/>
        <w:widowControl w:val="1"/>
      </w:pPr>
      <w:r>
        <w:t>Coste_Promedio_Incidente_Grave – estimado (incluyendo impacto de negocio).</w:t>
      </w:r>
    </w:p>
    <w:p>
      <w:pPr>
        <w:pStyle w:val="ListBullet"/>
        <w:keepLines w:val="1"/>
        <w:keepNext w:val="1"/>
        <w:widowControl w:val="1"/>
      </w:pPr>
      <w:r>
        <w:t>Reduccion_MTTD_Minutos</w:t>
      </w:r>
    </w:p>
    <w:p>
      <w:pPr>
        <w:pStyle w:val="ListBullet"/>
        <w:keepLines w:val="1"/>
        <w:keepNext w:val="1"/>
        <w:widowControl w:val="1"/>
      </w:pPr>
      <w:r>
        <w:t>Reduccion_MTTR_Minutos</w:t>
      </w:r>
    </w:p>
    <w:p>
      <w:pPr>
        <w:pStyle w:val="ListBullet"/>
        <w:keepLines w:val="1"/>
        <w:widowControl w:val="1"/>
      </w:pPr>
      <w:r>
        <w:t>Valor_Hora_Interrupcion_Servicio – valoración económica.</w:t>
      </w:r>
    </w:p>
    <w:p>
      <w:r>
        <w:t>Ejemplos de cálculos:</w:t>
      </w:r>
    </w:p>
    <w:p>
      <w:pPr>
        <w:pStyle w:val="ListBullet"/>
        <w:keepLines w:val="1"/>
        <w:keepNext w:val="1"/>
        <w:widowControl w:val="1"/>
      </w:pPr>
      <w:r>
        <w:t xml:space="preserve">Incidentes_Evitados = Num_Incidentes_Graves_Anual_Antes – Num_Incidentes_Graves_Anual_Actual.  </w:t>
      </w:r>
    </w:p>
    <w:p>
      <w:pPr>
        <w:pStyle w:val="ListBullet"/>
        <w:keepLines w:val="1"/>
        <w:keepNext w:val="1"/>
        <w:widowControl w:val="1"/>
      </w:pPr>
      <w:r>
        <w:t xml:space="preserve">Perdidas_Evitadas_Por_Incidentes = Incidentes_Evitados * Coste_Promedio_Incidente_Grave.  </w:t>
      </w:r>
    </w:p>
    <w:p>
      <w:pPr>
        <w:pStyle w:val="ListBullet"/>
        <w:keepLines w:val="1"/>
        <w:keepNext w:val="1"/>
        <w:widowControl w:val="1"/>
      </w:pPr>
      <w:r>
        <w:t xml:space="preserve">Ahorro_Tiempo_Deteccion = Reduccion_MTTD_Minutos * Num_Incidentes_Graves_Anual_Actual.  </w:t>
      </w:r>
    </w:p>
    <w:p>
      <w:pPr>
        <w:pStyle w:val="ListBullet"/>
        <w:keepLines w:val="1"/>
        <w:keepNext w:val="1"/>
        <w:widowControl w:val="1"/>
      </w:pPr>
      <w:r>
        <w:t xml:space="preserve">Ahorro_Tiempo_Respuesta = Reduccion_MTTR_Minutos * Num_Incidentes_Graves_Anual_Actual.  </w:t>
      </w:r>
    </w:p>
    <w:p>
      <w:pPr>
        <w:pStyle w:val="ListBullet"/>
        <w:keepLines w:val="1"/>
        <w:widowControl w:val="1"/>
      </w:pPr>
      <w:r>
        <w:t>Valor_Ahorro_Tiempo_Total = (Ahorro_Tiempo_Deteccion + Ahorro_Tiempo_Respuesta) * (Valor_Hora_Interrupcion_Servicio / 60).</w:t>
      </w:r>
    </w:p>
    <w:p>
      <w:r>
        <w:t>Total beneficios:</w:t>
      </w:r>
    </w:p>
    <w:p>
      <w:pPr>
        <w:pStyle w:val="ListBullet"/>
        <w:keepLines w:val="1"/>
        <w:widowControl w:val="1"/>
      </w:pPr>
      <w:r>
        <w:t>Beneficio_Total_Anual = Perdidas_Evitadas_Por_Incidentes + Valor_Ahorro_Tiempo_Total.</w:t>
      </w:r>
    </w:p>
    <w:p>
      <w:pPr>
        <w:pStyle w:val="Heading3"/>
        <w:keepNext/>
        <w:keepLines/>
      </w:pPr>
      <w:r>
        <w:t>4.3 Cálculo del ROI</w:t>
      </w:r>
    </w:p>
    <w:p>
      <w:r>
        <w:t>Fórmulas típicas:</w:t>
      </w:r>
    </w:p>
    <w:p>
      <w:pPr>
        <w:pStyle w:val="ListBullet"/>
        <w:keepLines w:val="1"/>
        <w:keepNext w:val="1"/>
        <w:widowControl w:val="1"/>
      </w:pPr>
      <w:r>
        <w:t xml:space="preserve">ROI_Anual = (Beneficio_Total_Anual – Coste_Total_Anual) / Coste_Total_Anual.  </w:t>
      </w:r>
    </w:p>
    <w:p>
      <w:pPr>
        <w:pStyle w:val="ListBullet"/>
        <w:keepLines w:val="1"/>
        <w:keepNext w:val="1"/>
        <w:widowControl w:val="1"/>
      </w:pPr>
      <w:r>
        <w:t xml:space="preserve">Periodo_Retorno (años) = Coste_Total_Anual / Beneficio_Total_Anual (si los beneficios son constantes).  </w:t>
      </w:r>
    </w:p>
    <w:p>
      <w:pPr>
        <w:pStyle w:val="ListBullet"/>
        <w:keepLines w:val="1"/>
        <w:widowControl w:val="1"/>
      </w:pPr>
      <w:r>
        <w:t>Coste_Por_Incidente_Evitado = Coste_Total_Anual / Incidentes_Evitados (si &gt;0).</w:t>
      </w:r>
    </w:p>
    <w:p>
      <w:pPr>
        <w:pStyle w:val="Heading2"/>
        <w:keepNext/>
        <w:keepLines/>
      </w:pPr>
      <w:r>
        <w:rPr>
          <w:color w:val="0066CC"/>
        </w:rPr>
        <w:t>5. Hoja Resultados</w:t>
      </w:r>
    </w:p>
    <w:p>
      <w:r>
        <w:t>Esta hoja puede contener:</w:t>
      </w:r>
    </w:p>
    <w:p>
      <w:pPr>
        <w:pStyle w:val="ListBullet"/>
        <w:keepLines w:val="1"/>
        <w:keepNext w:val="1"/>
        <w:widowControl w:val="1"/>
      </w:pPr>
      <w:r>
        <w:t xml:space="preserve">Tabla resumen con medias de IGM_Global por sector y tamaño.  </w:t>
      </w:r>
    </w:p>
    <w:p>
      <w:pPr>
        <w:pStyle w:val="ListBullet"/>
        <w:keepLines w:val="1"/>
        <w:keepNext w:val="1"/>
        <w:widowControl w:val="1"/>
      </w:pPr>
      <w:r>
        <w:t xml:space="preserve">Gráficos de barras comparando subíndices.  </w:t>
      </w:r>
    </w:p>
    <w:p>
      <w:pPr>
        <w:pStyle w:val="ListBullet"/>
        <w:keepLines w:val="1"/>
        <w:keepNext w:val="1"/>
        <w:widowControl w:val="1"/>
      </w:pPr>
      <w:r>
        <w:t xml:space="preserve">Semáforos (verde/ámbar/rojo) para IGM y ROI.  </w:t>
      </w:r>
    </w:p>
    <w:p>
      <w:pPr>
        <w:pStyle w:val="ListBullet"/>
        <w:keepLines w:val="1"/>
        <w:widowControl w:val="1"/>
      </w:pPr>
      <w:r>
        <w:t>Espacios para comentarios cualitativos.</w:t>
      </w:r>
    </w:p>
    <w:p>
      <w:r>
        <w:t>Ejemplos de indicadores:</w:t>
      </w:r>
    </w:p>
    <w:p>
      <w:pPr>
        <w:pStyle w:val="ListBullet"/>
        <w:keepLines w:val="1"/>
        <w:keepNext w:val="1"/>
        <w:widowControl w:val="1"/>
      </w:pPr>
      <w:r>
        <w:t xml:space="preserve">IGM_Global_Promedio_Sector_Energia.  </w:t>
      </w:r>
    </w:p>
    <w:p>
      <w:pPr>
        <w:pStyle w:val="ListBullet"/>
        <w:keepLines w:val="1"/>
        <w:keepNext w:val="1"/>
        <w:widowControl w:val="1"/>
      </w:pPr>
      <w:r>
        <w:t xml:space="preserve">Porcentaje_Organizaciones_Con_IGM_Global&gt;70.  </w:t>
      </w:r>
    </w:p>
    <w:p>
      <w:pPr>
        <w:pStyle w:val="ListBullet"/>
        <w:keepLines w:val="1"/>
        <w:widowControl w:val="1"/>
      </w:pPr>
      <w:r>
        <w:t>Porcentaje_Organizaciones_Con_ROI_Anual_Positivo.</w:t>
      </w:r>
    </w:p>
    <w:p>
      <w:pPr>
        <w:pStyle w:val="Heading2"/>
        <w:keepNext/>
        <w:keepLines/>
      </w:pPr>
      <w:r>
        <w:rPr>
          <w:color w:val="0066CC"/>
        </w:rPr>
        <w:t>6. Notas prácticas</w:t>
      </w:r>
    </w:p>
    <w:p>
      <w:pPr>
        <w:pStyle w:val="ListBullet"/>
        <w:keepLines w:val="1"/>
        <w:keepNext w:val="1"/>
        <w:widowControl w:val="1"/>
      </w:pPr>
      <w:r>
        <w:t>Mantener la plantilla flexible: permitir ajustar pesos, costes y supuestos sin cambiar estructuras.</w:t>
      </w:r>
    </w:p>
    <w:p>
      <w:pPr>
        <w:pStyle w:val="ListBullet"/>
        <w:keepLines w:val="1"/>
        <w:keepNext w:val="1"/>
        <w:widowControl w:val="1"/>
      </w:pPr>
      <w:r>
        <w:t>Documentar todas las fórmulas en una hoja de “Metodología” dentro del propio Excel.</w:t>
      </w:r>
    </w:p>
    <w:p>
      <w:pPr>
        <w:pStyle w:val="ListBullet"/>
        <w:keepLines w:val="1"/>
        <w:widowControl w:val="1"/>
      </w:pPr>
      <w:r>
        <w:t>Evitar interpretaciones excesivamente precisas: el ROI en ciberseguridad es una estimación, no una verdad revelada.</w:t>
      </w:r>
    </w:p>
    <w:p>
      <w:r>
        <w:rPr>
          <w:i/>
        </w:rPr>
        <w:t>Fin de la plantilla descriptiva.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