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GQM + PRAGMATIC para indicadores SIEM</w:t>
      </w:r>
    </w:p>
    <w:p>
      <w:r>
        <w:t>Guía para construir una presentación que explique cómo se conectan objetivos nacionales con métricas SIEM de calidad.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“Indicadores SIEM alineados con objetivos nacionales: enfoque GQM + PRAGMATIC”.</w:t>
      </w:r>
    </w:p>
    <w:p>
      <w:pPr>
        <w:pStyle w:val="ListBullet"/>
        <w:keepLines w:val="1"/>
        <w:keepNext w:val="1"/>
        <w:widowControl w:val="1"/>
      </w:pPr>
      <w:r>
        <w:t>Subtítulo: “De la estrategia al log (y vuelta)”.</w:t>
      </w:r>
    </w:p>
    <w:p>
      <w:pPr>
        <w:pStyle w:val="ListBullet"/>
        <w:keepLines w:val="1"/>
        <w:widowControl w:val="1"/>
      </w:pPr>
      <w:r>
        <w:t>Fecha, logos y autores.</w:t>
      </w:r>
    </w:p>
    <w:p>
      <w:pPr>
        <w:pStyle w:val="Heading2"/>
        <w:keepNext/>
        <w:keepLines/>
      </w:pPr>
      <w:r>
        <w:rPr>
          <w:color w:val="0066CC"/>
        </w:rPr>
        <w:t>Diapositiva 2 – Por qué GQM + PRAGMATIC</w:t>
      </w:r>
    </w:p>
    <w:p>
      <w:pPr>
        <w:pStyle w:val="ListBullet"/>
        <w:keepLines w:val="1"/>
        <w:keepNext w:val="1"/>
        <w:widowControl w:val="1"/>
      </w:pPr>
      <w:r>
        <w:t>Breve explicación del problema:</w:t>
      </w:r>
    </w:p>
    <w:p>
      <w:pPr>
        <w:pStyle w:val="ListBullet"/>
        <w:keepLines w:val="1"/>
        <w:keepNext w:val="1"/>
        <w:widowControl w:val="1"/>
      </w:pPr>
      <w:r>
        <w:t>Muchas métricas, poca trazabilidad.</w:t>
      </w:r>
    </w:p>
    <w:p>
      <w:pPr>
        <w:pStyle w:val="ListBullet"/>
        <w:keepLines w:val="1"/>
        <w:keepNext w:val="1"/>
        <w:widowControl w:val="1"/>
      </w:pPr>
      <w:r>
        <w:t>Cuadros de mando que no cambian decisiones.</w:t>
      </w:r>
    </w:p>
    <w:p>
      <w:pPr>
        <w:pStyle w:val="ListBullet"/>
        <w:keepLines w:val="1"/>
        <w:keepNext w:val="1"/>
        <w:widowControl w:val="1"/>
      </w:pPr>
      <w:r>
        <w:t>Mensaje clave:</w:t>
      </w:r>
    </w:p>
    <w:p>
      <w:pPr>
        <w:pStyle w:val="ListBullet"/>
        <w:keepLines w:val="1"/>
        <w:keepNext w:val="1"/>
        <w:widowControl w:val="1"/>
      </w:pPr>
      <w:r>
        <w:t>GQM asegura la trazabilidad objetivos–preguntas–métricas.</w:t>
      </w:r>
    </w:p>
    <w:p>
      <w:pPr>
        <w:pStyle w:val="ListBullet"/>
        <w:keepLines w:val="1"/>
        <w:widowControl w:val="1"/>
      </w:pPr>
      <w:r>
        <w:t>PRAGMATIC garantiza que las métricas sean de calidad.</w:t>
      </w:r>
    </w:p>
    <w:p>
      <w:pPr>
        <w:pStyle w:val="Heading2"/>
        <w:keepNext/>
        <w:keepLines/>
      </w:pPr>
      <w:r>
        <w:rPr>
          <w:color w:val="0066CC"/>
        </w:rPr>
        <w:t>Diapositiva 3 – Objetivos estratégicos (G)</w:t>
      </w:r>
    </w:p>
    <w:p>
      <w:pPr>
        <w:pStyle w:val="ListBullet"/>
        <w:keepLines w:val="1"/>
        <w:keepNext w:val="1"/>
        <w:widowControl w:val="1"/>
      </w:pPr>
      <w:r>
        <w:t>Lista de objetivos G1–G5:</w:t>
      </w:r>
    </w:p>
    <w:p>
      <w:pPr>
        <w:pStyle w:val="ListBullet"/>
        <w:keepLines w:val="1"/>
        <w:keepNext w:val="1"/>
        <w:widowControl w:val="1"/>
      </w:pPr>
      <w:r>
        <w:t>G1: Reducir MTTD/MTTR de incidentes graves.</w:t>
      </w:r>
    </w:p>
    <w:p>
      <w:pPr>
        <w:pStyle w:val="ListBullet"/>
        <w:keepLines w:val="1"/>
        <w:keepNext w:val="1"/>
        <w:widowControl w:val="1"/>
      </w:pPr>
      <w:r>
        <w:t>G2: Cumplir obligaciones de notificación (NIS2, ENS, etc.).</w:t>
      </w:r>
    </w:p>
    <w:p>
      <w:pPr>
        <w:pStyle w:val="ListBullet"/>
        <w:keepLines w:val="1"/>
        <w:keepNext w:val="1"/>
        <w:widowControl w:val="1"/>
      </w:pPr>
      <w:r>
        <w:t>G3: Mejorar calidad y cobertura de monitorización.</w:t>
      </w:r>
    </w:p>
    <w:p>
      <w:pPr>
        <w:pStyle w:val="ListBullet"/>
        <w:keepLines w:val="1"/>
        <w:keepNext w:val="1"/>
        <w:widowControl w:val="1"/>
      </w:pPr>
      <w:r>
        <w:t>G4: Aprovechar IA y automatización de forma efectiva.</w:t>
      </w:r>
    </w:p>
    <w:p>
      <w:pPr>
        <w:pStyle w:val="ListBullet"/>
        <w:keepLines w:val="1"/>
        <w:keepNext w:val="1"/>
        <w:widowControl w:val="1"/>
      </w:pPr>
      <w:r>
        <w:t>G5: Integrar SIEM en gestión de riesgo y ROI.</w:t>
      </w:r>
    </w:p>
    <w:p>
      <w:pPr>
        <w:pStyle w:val="ListBullet"/>
        <w:keepLines w:val="1"/>
        <w:keepNext w:val="1"/>
        <w:widowControl w:val="1"/>
      </w:pPr>
      <w:r>
        <w:t>Gráfico sugerido:</w:t>
      </w:r>
    </w:p>
    <w:p>
      <w:pPr>
        <w:pStyle w:val="ListBullet"/>
        <w:keepLines w:val="1"/>
        <w:widowControl w:val="1"/>
      </w:pPr>
      <w:r>
        <w:t>Diagrama que los agrupe en tres bloques: Operación, Cumplimiento, Riesgo.</w:t>
      </w:r>
    </w:p>
    <w:p>
      <w:pPr>
        <w:pStyle w:val="Heading2"/>
        <w:keepNext/>
        <w:keepLines/>
      </w:pPr>
      <w:r>
        <w:rPr>
          <w:color w:val="0066CC"/>
        </w:rPr>
        <w:t>Diapositiva 4 – De objetivos a preguntas (Q)</w:t>
      </w:r>
    </w:p>
    <w:p>
      <w:pPr>
        <w:pStyle w:val="ListBullet"/>
        <w:keepLines w:val="1"/>
        <w:keepNext w:val="1"/>
        <w:widowControl w:val="1"/>
      </w:pPr>
      <w:r>
        <w:t>Ejemplos:</w:t>
      </w:r>
    </w:p>
    <w:p>
      <w:pPr>
        <w:pStyle w:val="ListBullet"/>
        <w:keepLines w:val="1"/>
        <w:keepNext w:val="1"/>
        <w:widowControl w:val="1"/>
      </w:pPr>
      <w:r>
        <w:t>“¿Cuánto tardamos en detectar y contener un incidente de máxima criticidad?”</w:t>
      </w:r>
    </w:p>
    <w:p>
      <w:pPr>
        <w:pStyle w:val="ListBullet"/>
        <w:keepLines w:val="1"/>
        <w:keepNext w:val="1"/>
        <w:widowControl w:val="1"/>
      </w:pPr>
      <w:r>
        <w:t>“¿Qué porcentaje de incidentes notificamos dentro de plazo legal?”</w:t>
      </w:r>
    </w:p>
    <w:p>
      <w:pPr>
        <w:pStyle w:val="ListBullet"/>
        <w:keepLines w:val="1"/>
        <w:keepNext w:val="1"/>
        <w:widowControl w:val="1"/>
      </w:pPr>
      <w:r>
        <w:t>“¿Cuánta parte de nuestros activos críticos está realmente monitorizada?”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Las preguntas son la bisagra entre la estrategia y la instrumentación técnica.</w:t>
      </w:r>
    </w:p>
    <w:p>
      <w:pPr>
        <w:pStyle w:val="Heading2"/>
        <w:keepNext/>
        <w:keepLines/>
      </w:pPr>
      <w:r>
        <w:rPr>
          <w:color w:val="0066CC"/>
        </w:rPr>
        <w:t>Diapositiva 5 – De preguntas a métricas (M)</w:t>
      </w:r>
    </w:p>
    <w:p>
      <w:pPr>
        <w:pStyle w:val="ListBullet"/>
        <w:keepLines w:val="1"/>
        <w:keepNext w:val="1"/>
        <w:widowControl w:val="1"/>
      </w:pPr>
      <w:r>
        <w:t>Tabla resumen con 8–10 métricas núcleo:</w:t>
      </w:r>
    </w:p>
    <w:p>
      <w:pPr>
        <w:pStyle w:val="ListBullet"/>
        <w:keepLines w:val="1"/>
        <w:keepNext w:val="1"/>
        <w:widowControl w:val="1"/>
      </w:pPr>
      <w:r>
        <w:t>MTTD, MTTR, % incidentes en plazo, cobertura activos, cobertura ATT&amp;CK, etc.</w:t>
      </w:r>
    </w:p>
    <w:p>
      <w:pPr>
        <w:pStyle w:val="ListBullet"/>
        <w:keepLines w:val="1"/>
        <w:widowControl w:val="1"/>
      </w:pPr>
      <w:r>
        <w:t>Señalar fuente de datos principal (SIEM, ticketing, CMDB).</w:t>
      </w:r>
    </w:p>
    <w:p>
      <w:pPr>
        <w:pStyle w:val="Heading2"/>
        <w:keepNext/>
        <w:keepLines/>
      </w:pPr>
      <w:r>
        <w:rPr>
          <w:color w:val="0066CC"/>
        </w:rPr>
        <w:t>Diapositiva 6 – Los criterios PRAGMATIC</w:t>
      </w:r>
    </w:p>
    <w:p>
      <w:pPr>
        <w:pStyle w:val="ListBullet"/>
        <w:keepLines w:val="1"/>
        <w:keepNext w:val="1"/>
        <w:widowControl w:val="1"/>
      </w:pPr>
      <w:r>
        <w:t>Breve definición de los nueve criterios.</w:t>
      </w:r>
    </w:p>
    <w:p>
      <w:pPr>
        <w:pStyle w:val="ListBullet"/>
        <w:keepLines w:val="1"/>
        <w:keepNext w:val="1"/>
        <w:widowControl w:val="1"/>
      </w:pPr>
      <w:r>
        <w:t>Visual sugerida:</w:t>
      </w:r>
    </w:p>
    <w:p>
      <w:pPr>
        <w:pStyle w:val="ListBullet"/>
        <w:keepLines w:val="1"/>
        <w:keepNext w:val="1"/>
        <w:widowControl w:val="1"/>
      </w:pPr>
      <w:r>
        <w:t>Rueda o matriz 3x3 con cada letra.</w:t>
      </w:r>
    </w:p>
    <w:p>
      <w:pPr>
        <w:pStyle w:val="ListBullet"/>
        <w:keepLines w:val="1"/>
        <w:keepNext w:val="1"/>
        <w:widowControl w:val="1"/>
      </w:pPr>
      <w:r>
        <w:t>Mensaje clave:</w:t>
      </w:r>
    </w:p>
    <w:p>
      <w:pPr>
        <w:pStyle w:val="ListBullet"/>
        <w:keepLines w:val="1"/>
        <w:widowControl w:val="1"/>
      </w:pPr>
      <w:r>
        <w:t>Una métrica no pasa a “estrella” si no supera un mínimo de calidad.</w:t>
      </w:r>
    </w:p>
    <w:p>
      <w:pPr>
        <w:pStyle w:val="Heading2"/>
        <w:keepNext/>
        <w:keepLines/>
      </w:pPr>
      <w:r>
        <w:rPr>
          <w:color w:val="0066CC"/>
        </w:rPr>
        <w:t>Diapositiva 7 – Matriz PRAGMATIC de métricas clave</w:t>
      </w:r>
    </w:p>
    <w:p>
      <w:pPr>
        <w:pStyle w:val="ListBullet"/>
        <w:keepLines w:val="1"/>
        <w:keepNext w:val="1"/>
        <w:widowControl w:val="1"/>
      </w:pPr>
      <w:r>
        <w:t>Gráfico:</w:t>
      </w:r>
    </w:p>
    <w:p>
      <w:pPr>
        <w:pStyle w:val="ListBullet"/>
        <w:keepLines w:val="1"/>
        <w:keepNext w:val="1"/>
        <w:widowControl w:val="1"/>
      </w:pPr>
      <w:r>
        <w:t>Tabla o heatmap con puntuaciones por criterio para las métricas principales.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Identificar métricas robustas y métricas candidatas a ser sustituidas o mejoradas.</w:t>
      </w:r>
    </w:p>
    <w:p>
      <w:pPr>
        <w:pStyle w:val="Heading2"/>
        <w:keepNext/>
        <w:keepLines/>
      </w:pPr>
      <w:r>
        <w:rPr>
          <w:color w:val="0066CC"/>
        </w:rPr>
        <w:t>Diapositiva 8 – Métricas “estrella” para el cuadro de mando</w:t>
      </w:r>
    </w:p>
    <w:p>
      <w:pPr>
        <w:pStyle w:val="ListBullet"/>
        <w:keepLines w:val="1"/>
        <w:keepNext w:val="1"/>
        <w:widowControl w:val="1"/>
      </w:pPr>
      <w:r>
        <w:t>Seleccionar:</w:t>
      </w:r>
    </w:p>
    <w:p>
      <w:pPr>
        <w:pStyle w:val="ListBullet"/>
        <w:keepLines w:val="1"/>
        <w:keepNext w:val="1"/>
        <w:widowControl w:val="1"/>
      </w:pPr>
      <w:r>
        <w:t>3–4 métricas por objetivo G (15–20 en total como máximo).</w:t>
      </w:r>
    </w:p>
    <w:p>
      <w:pPr>
        <w:pStyle w:val="ListBullet"/>
        <w:keepLines w:val="1"/>
        <w:keepNext w:val="1"/>
        <w:widowControl w:val="1"/>
      </w:pPr>
      <w:r>
        <w:t>Mostrar:</w:t>
      </w:r>
    </w:p>
    <w:p>
      <w:pPr>
        <w:pStyle w:val="ListBullet"/>
        <w:keepLines w:val="1"/>
        <w:keepNext w:val="1"/>
        <w:widowControl w:val="1"/>
      </w:pPr>
      <w:r>
        <w:t>Score PRAGMATIC total y breves notas de interpretación.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Menos es más: foco en métricas que realmente mueven decisiones.</w:t>
      </w:r>
    </w:p>
    <w:p>
      <w:pPr>
        <w:pStyle w:val="Heading2"/>
        <w:keepNext/>
        <w:keepLines/>
      </w:pPr>
      <w:r>
        <w:rPr>
          <w:color w:val="0066CC"/>
        </w:rPr>
        <w:t>Diapositiva 9 – Implicaciones para política nacional y sectorial</w:t>
      </w:r>
    </w:p>
    <w:p>
      <w:pPr>
        <w:pStyle w:val="ListBullet"/>
        <w:keepLines w:val="1"/>
        <w:keepNext w:val="1"/>
        <w:widowControl w:val="1"/>
      </w:pPr>
      <w:r>
        <w:t>Cómo utilizar estas métricas para:</w:t>
      </w:r>
    </w:p>
    <w:p>
      <w:pPr>
        <w:pStyle w:val="ListBullet"/>
        <w:keepLines w:val="1"/>
        <w:keepNext w:val="1"/>
        <w:widowControl w:val="1"/>
      </w:pPr>
      <w:r>
        <w:t>Definir mínimos comunes de monitorización para operadores esenciales.</w:t>
      </w:r>
    </w:p>
    <w:p>
      <w:pPr>
        <w:pStyle w:val="ListBullet"/>
        <w:keepLines w:val="1"/>
        <w:keepNext w:val="1"/>
        <w:widowControl w:val="1"/>
      </w:pPr>
      <w:r>
        <w:t>Diseñar plantillas de reporte estándar (para CERT, reguladores, etc.).</w:t>
      </w:r>
    </w:p>
    <w:p>
      <w:pPr>
        <w:pStyle w:val="ListBullet"/>
        <w:keepLines w:val="1"/>
        <w:widowControl w:val="1"/>
      </w:pPr>
      <w:r>
        <w:t>Medir la mejora a lo largo del tiempo.</w:t>
      </w:r>
    </w:p>
    <w:p>
      <w:pPr>
        <w:pStyle w:val="Heading2"/>
        <w:keepNext/>
        <w:keepLines/>
      </w:pPr>
      <w:r>
        <w:rPr>
          <w:color w:val="0066CC"/>
        </w:rPr>
        <w:t>Diapositiva 10 – Integración con IGM y ROI</w:t>
      </w:r>
    </w:p>
    <w:p>
      <w:pPr>
        <w:pStyle w:val="ListBullet"/>
        <w:keepLines w:val="1"/>
        <w:keepNext w:val="1"/>
        <w:widowControl w:val="1"/>
      </w:pPr>
      <w:r>
        <w:t>Explicar:</w:t>
      </w:r>
    </w:p>
    <w:p>
      <w:pPr>
        <w:pStyle w:val="ListBullet"/>
        <w:keepLines w:val="1"/>
        <w:keepNext w:val="1"/>
        <w:widowControl w:val="1"/>
      </w:pPr>
      <w:r>
        <w:t>Cómo las métricas GQM + PRAGMATIC alimentan el Índice Global de Madurez.</w:t>
      </w:r>
    </w:p>
    <w:p>
      <w:pPr>
        <w:pStyle w:val="ListBullet"/>
        <w:keepLines w:val="1"/>
        <w:keepNext w:val="1"/>
        <w:widowControl w:val="1"/>
      </w:pPr>
      <w:r>
        <w:t>Cómo se utilizan para estimar el ROI de inversiones SIEM/SOC.</w:t>
      </w:r>
    </w:p>
    <w:p>
      <w:pPr>
        <w:pStyle w:val="ListBullet"/>
        <w:keepLines w:val="1"/>
        <w:keepNext w:val="1"/>
        <w:widowControl w:val="1"/>
      </w:pPr>
      <w:r>
        <w:t>Gráfico:</w:t>
      </w:r>
    </w:p>
    <w:p>
      <w:pPr>
        <w:pStyle w:val="ListBullet"/>
        <w:keepLines w:val="1"/>
        <w:widowControl w:val="1"/>
      </w:pPr>
      <w:r>
        <w:t>Diagrama que conecte “Datos SIEM → Métricas → IGM/ROI → Decisiones”.</w:t>
      </w:r>
    </w:p>
    <w:p>
      <w:pPr>
        <w:pStyle w:val="Heading2"/>
        <w:keepNext/>
        <w:keepLines/>
      </w:pPr>
      <w:r>
        <w:rPr>
          <w:color w:val="0066CC"/>
        </w:rPr>
        <w:t>Diapositiva 11 – Roadmap de implantación</w:t>
      </w:r>
    </w:p>
    <w:p>
      <w:pPr>
        <w:pStyle w:val="ListBullet"/>
        <w:keepLines w:val="1"/>
        <w:keepNext w:val="1"/>
        <w:widowControl w:val="1"/>
      </w:pPr>
      <w:r>
        <w:t>Fases sugeridas:</w:t>
      </w:r>
    </w:p>
    <w:p>
      <w:pPr>
        <w:pStyle w:val="ListBullet"/>
        <w:keepLines w:val="1"/>
        <w:keepNext w:val="1"/>
        <w:widowControl w:val="1"/>
      </w:pPr>
      <w:r>
        <w:t>Pilotos sectoriales.</w:t>
      </w:r>
    </w:p>
    <w:p>
      <w:pPr>
        <w:pStyle w:val="ListBullet"/>
        <w:keepLines w:val="1"/>
        <w:keepNext w:val="1"/>
        <w:widowControl w:val="1"/>
      </w:pPr>
      <w:r>
        <w:t>Ajustes y normalización.</w:t>
      </w:r>
    </w:p>
    <w:p>
      <w:pPr>
        <w:pStyle w:val="ListBullet"/>
        <w:keepLines w:val="1"/>
        <w:keepNext w:val="1"/>
        <w:widowControl w:val="1"/>
      </w:pPr>
      <w:r>
        <w:t>Escalado nacional.</w:t>
      </w:r>
    </w:p>
    <w:p>
      <w:pPr>
        <w:pStyle w:val="ListBullet"/>
        <w:keepLines w:val="1"/>
        <w:keepNext w:val="1"/>
        <w:widowControl w:val="1"/>
      </w:pPr>
      <w:r>
        <w:t>Revisión periódica.</w:t>
      </w:r>
    </w:p>
    <w:p>
      <w:pPr>
        <w:pStyle w:val="ListBullet"/>
        <w:keepLines w:val="1"/>
        <w:keepNext w:val="1"/>
        <w:widowControl w:val="1"/>
      </w:pPr>
      <w:r>
        <w:t>Resaltar:</w:t>
      </w:r>
    </w:p>
    <w:p>
      <w:pPr>
        <w:pStyle w:val="ListBullet"/>
        <w:keepLines w:val="1"/>
        <w:widowControl w:val="1"/>
      </w:pPr>
      <w:r>
        <w:t>Importancia de la colaboración entre organismos, CERT y operadores.</w:t>
      </w:r>
    </w:p>
    <w:p>
      <w:pPr>
        <w:pStyle w:val="Heading2"/>
        <w:keepNext/>
        <w:keepLines/>
      </w:pPr>
      <w:r>
        <w:rPr>
          <w:color w:val="0066CC"/>
        </w:rPr>
        <w:t>Diapositiva 12 – Cierre</w:t>
      </w:r>
    </w:p>
    <w:p>
      <w:pPr>
        <w:pStyle w:val="ListBullet"/>
        <w:keepLines w:val="1"/>
        <w:keepNext w:val="1"/>
        <w:widowControl w:val="1"/>
      </w:pPr>
      <w:r>
        <w:t>Mensaje final:</w:t>
      </w:r>
    </w:p>
    <w:p>
      <w:pPr>
        <w:pStyle w:val="ListBullet"/>
        <w:keepLines w:val="1"/>
        <w:keepNext w:val="1"/>
        <w:widowControl w:val="1"/>
      </w:pPr>
      <w:r>
        <w:t>“No se trata de medir más, sino de medir mejor”.</w:t>
      </w:r>
    </w:p>
    <w:p>
      <w:pPr>
        <w:pStyle w:val="ListBullet"/>
        <w:keepLines w:val="1"/>
        <w:widowControl w:val="1"/>
      </w:pPr>
      <w:r>
        <w:t>Contacto y referencias principales.</w:t>
      </w:r>
    </w:p>
    <w:p>
      <w:r>
        <w:rPr>
          <w:i/>
        </w:rPr>
        <w:t>Fin de la plantilla de reporte.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