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Guía metodológica de la Encuesta Nacional SOAR</w:t>
      </w:r>
    </w:p>
    <w:p>
      <w:pPr>
        <w:pStyle w:val="Heading2"/>
        <w:keepNext/>
        <w:keepLines/>
      </w:pPr>
      <w:r>
        <w:rPr>
          <w:color w:val="0066CC"/>
        </w:rPr>
        <w:t>1. Objetivo general</w:t>
      </w:r>
    </w:p>
    <w:p>
      <w:r>
        <w:t>La encuesta busca medir el grado de adopción, la calidad y el impacto de las capacidades de orquestación, automatización y respuesta (SOAR) en organizaciones españolas, con especial atención a entidades sujetas a NIS2 y ENS.</w:t>
      </w:r>
      <w:r/>
      <w:r>
        <w:br/>
        <w:t>Su propósito último es disponer de datos comparables que permitan construir indicadores agregados (tiempos, coberturas, calidades, impacto económico) y orientar políticas públicas, inversiones empresariales y hojas de ruta de ciberseguridad.</w:t>
      </w:r>
    </w:p>
    <w:p>
      <w:pPr>
        <w:pStyle w:val="Heading2"/>
        <w:keepNext/>
        <w:keepLines/>
      </w:pPr>
      <w:r>
        <w:rPr>
          <w:color w:val="0066CC"/>
        </w:rPr>
        <w:t>2. Población objetivo y unidades de análisis</w:t>
      </w:r>
    </w:p>
    <w:p>
      <w:pPr>
        <w:pStyle w:val="ListBullet"/>
        <w:keepLines w:val="1"/>
        <w:keepNext w:val="1"/>
        <w:widowControl w:val="1"/>
      </w:pPr>
      <w:r>
        <w:t xml:space="preserve">Unidad de análisis primaria: organización (empresa, organismo público, entidad sujeta o no sujeta a NIS2/ENS).  </w:t>
      </w:r>
    </w:p>
    <w:p>
      <w:pPr>
        <w:pStyle w:val="ListBullet"/>
        <w:keepLines w:val="1"/>
        <w:keepNext w:val="1"/>
        <w:widowControl w:val="1"/>
      </w:pPr>
      <w:r>
        <w:t xml:space="preserve">Respondente ideal: CISO, responsable de SOC, responsable de seguridad de la información, continuidad de negocio o equivalente.  </w:t>
      </w:r>
    </w:p>
    <w:p>
      <w:pPr>
        <w:pStyle w:val="ListBullet"/>
        <w:keepLines w:val="1"/>
        <w:widowControl w:val="1"/>
      </w:pPr>
      <w:r>
        <w:t>Cobertura sectorial: sectores esenciales (energía, transporte, banca, sanidad, agua, digital, etc.), administraciones públicas y sectores relevantes adicionales (industria, educación, I+D).</w:t>
      </w:r>
    </w:p>
    <w:p>
      <w:r>
        <w:t xml:space="preserve">Se sugiere una </w:t>
      </w:r>
      <w:r>
        <w:rPr>
          <w:b/>
        </w:rPr>
        <w:t>estratificación</w:t>
      </w:r>
      <w:r>
        <w:t xml:space="preserve"> por:</w:t>
      </w:r>
      <w:r/>
      <w:r>
        <w:br/>
        <w:t>- Sector (NIS2 y otros).</w:t>
      </w:r>
      <w:r/>
      <w:r>
        <w:br/>
        <w:t>- Tamaño (empleados).</w:t>
      </w:r>
      <w:r/>
      <w:r>
        <w:br/>
        <w:t>- Naturaleza (público / privado).</w:t>
      </w:r>
    </w:p>
    <w:p>
      <w:pPr>
        <w:pStyle w:val="Heading2"/>
        <w:keepNext/>
        <w:keepLines/>
      </w:pPr>
      <w:r>
        <w:rPr>
          <w:color w:val="0066CC"/>
        </w:rPr>
        <w:t>3. Enfoque de diseño del cuestionario</w:t>
      </w:r>
    </w:p>
    <w:p>
      <w:r>
        <w:t>El modelo de encuesta se ha construido a partir de:</w:t>
      </w:r>
      <w:r/>
      <w:r>
        <w:br/>
        <w:t>- Recomendaciones de NIST SP 800‑61 rev.3 en materia de indicadores de respuesta a incidentes.</w:t>
      </w:r>
      <w:r/>
      <w:r>
        <w:br/>
        <w:t>- Guías de ENISA para CSIRT/SOC y marcos de madurez.</w:t>
      </w:r>
      <w:r/>
      <w:r>
        <w:br/>
        <w:t>- Datos de incidentes gestionados por CERT nacionales (p. ej., INCIBE‑CERT).</w:t>
      </w:r>
      <w:r/>
      <w:r>
        <w:br/>
        <w:t>- Prácticas de mercado en métricas de SOC y SOAR (MTTD, MTTR, cobertura de automatización, falsos positivos, etc.).</w:t>
      </w:r>
    </w:p>
    <w:p>
      <w:r>
        <w:t>El cuestionario:</w:t>
      </w:r>
      <w:r/>
      <w:r>
        <w:br/>
        <w:t xml:space="preserve">- Combina </w:t>
      </w:r>
      <w:r>
        <w:rPr>
          <w:b/>
        </w:rPr>
        <w:t>preguntas cerradas</w:t>
      </w:r>
      <w:r>
        <w:t xml:space="preserve"> con opciones claras para facilitar el análisis estadístico.</w:t>
      </w:r>
      <w:r/>
      <w:r>
        <w:br/>
        <w:t xml:space="preserve">- Introduce </w:t>
      </w:r>
      <w:r>
        <w:rPr>
          <w:b/>
        </w:rPr>
        <w:t>preguntas de percepción</w:t>
      </w:r>
      <w:r>
        <w:t xml:space="preserve"> que permiten contextualizar la lectura de los datos.</w:t>
      </w:r>
      <w:r/>
      <w:r>
        <w:br/>
        <w:t xml:space="preserve">- Incluye </w:t>
      </w:r>
      <w:r>
        <w:rPr>
          <w:b/>
        </w:rPr>
        <w:t>campos abiertos</w:t>
      </w:r>
      <w:r>
        <w:t xml:space="preserve"> para capturar matices y casos singulares.</w:t>
      </w:r>
    </w:p>
    <w:p>
      <w:pPr>
        <w:pStyle w:val="Heading2"/>
        <w:keepNext/>
        <w:keepLines/>
      </w:pPr>
      <w:r>
        <w:rPr>
          <w:color w:val="0066CC"/>
        </w:rPr>
        <w:t>4. Dimensiones analíticas</w:t>
      </w:r>
    </w:p>
    <w:p>
      <w:r>
        <w:t>Las preguntas se agrupan en las siguientes dimensiones:</w:t>
      </w:r>
    </w:p>
    <w:p>
      <w:pPr>
        <w:pStyle w:val="ListNumber"/>
        <w:keepLines w:val="1"/>
        <w:keepNext w:val="1"/>
        <w:widowControl w:val="1"/>
      </w:pPr>
      <w:r>
        <w:t xml:space="preserve">Información general y contexto regulatorio (P0–4, 29).  </w:t>
      </w:r>
    </w:p>
    <w:p>
      <w:pPr>
        <w:pStyle w:val="ListNumber"/>
        <w:keepLines w:val="1"/>
        <w:keepNext w:val="1"/>
        <w:widowControl w:val="1"/>
      </w:pPr>
      <w:r>
        <w:t xml:space="preserve">Gobierno y estrategia SOAR (P5–8, 37–39).  </w:t>
      </w:r>
    </w:p>
    <w:p>
      <w:pPr>
        <w:pStyle w:val="ListNumber"/>
        <w:keepLines w:val="1"/>
        <w:keepNext w:val="1"/>
        <w:widowControl w:val="1"/>
      </w:pPr>
      <w:r>
        <w:t xml:space="preserve">Modelo operativo de SOC y cobertura de automatización (P9–13, 25–28).  </w:t>
      </w:r>
    </w:p>
    <w:p>
      <w:pPr>
        <w:pStyle w:val="ListNumber"/>
        <w:keepLines w:val="1"/>
        <w:keepNext w:val="1"/>
        <w:widowControl w:val="1"/>
      </w:pPr>
      <w:r>
        <w:t xml:space="preserve">Métricas de tiempo (MTTD, MTTC, MTTR) (P14–18).  </w:t>
      </w:r>
    </w:p>
    <w:p>
      <w:pPr>
        <w:pStyle w:val="ListNumber"/>
        <w:keepLines w:val="1"/>
        <w:keepNext w:val="1"/>
        <w:widowControl w:val="1"/>
      </w:pPr>
      <w:r>
        <w:t xml:space="preserve">Métricas de calidad (falsos positivos, re‑aperturas, rollback) (P19–24).  </w:t>
      </w:r>
    </w:p>
    <w:p>
      <w:pPr>
        <w:pStyle w:val="ListNumber"/>
        <w:keepLines w:val="1"/>
        <w:keepNext w:val="1"/>
        <w:widowControl w:val="1"/>
      </w:pPr>
      <w:r>
        <w:t xml:space="preserve">Regulación, cumplimiento y notificación (P29–32).  </w:t>
      </w:r>
    </w:p>
    <w:p>
      <w:pPr>
        <w:pStyle w:val="ListNumber"/>
        <w:keepLines w:val="1"/>
        <w:keepNext w:val="1"/>
        <w:widowControl w:val="1"/>
      </w:pPr>
      <w:r>
        <w:t xml:space="preserve">Impacto económico y ROI (P33–36).  </w:t>
      </w:r>
    </w:p>
    <w:p>
      <w:pPr>
        <w:pStyle w:val="ListNumber"/>
        <w:keepLines w:val="1"/>
        <w:keepNext w:val="1"/>
        <w:widowControl w:val="1"/>
      </w:pPr>
      <w:r>
        <w:t xml:space="preserve">Madurez, barreras y futuro (incluida IA) (P37–40).  </w:t>
      </w:r>
    </w:p>
    <w:p>
      <w:pPr>
        <w:pStyle w:val="ListNumber"/>
        <w:keepLines w:val="1"/>
        <w:widowControl w:val="1"/>
      </w:pPr>
      <w:r>
        <w:t>Comentarios cualitativos (P41–42).</w:t>
      </w:r>
    </w:p>
    <w:p>
      <w:r>
        <w:t>Cada dimensión permite análisis comparativos por sector, tamaño y naturaleza de la organización.</w:t>
      </w:r>
    </w:p>
    <w:p>
      <w:pPr>
        <w:pStyle w:val="Heading2"/>
        <w:keepNext/>
        <w:keepLines/>
      </w:pPr>
      <w:r>
        <w:rPr>
          <w:color w:val="0066CC"/>
        </w:rPr>
        <w:t>5. Tipo de escala y tratamiento de datos</w:t>
      </w:r>
    </w:p>
    <w:p>
      <w:r>
        <w:t xml:space="preserve">La mayor parte de preguntas utiliza </w:t>
      </w:r>
      <w:r>
        <w:rPr>
          <w:b/>
        </w:rPr>
        <w:t>escalas ordinales</w:t>
      </w:r>
      <w:r>
        <w:t xml:space="preserve"> (rangos de tiempos, porcentajes, niveles de madurez) o </w:t>
      </w:r>
      <w:r>
        <w:rPr>
          <w:b/>
        </w:rPr>
        <w:t>clasificaciones nominales</w:t>
      </w:r>
      <w:r>
        <w:t xml:space="preserve"> (sector, modelo de SOC).  </w:t>
      </w:r>
    </w:p>
    <w:p>
      <w:r>
        <w:t>Para análisis cuantitativos se proponen las siguientes aproximaciones:</w:t>
      </w:r>
      <w:r/>
      <w:r>
        <w:br/>
        <w:t>- Para rangos de tiempo (MTTD, MTTR) y porcentaje de cobertura, asignar valores numéricos centrales del rango (por ejemplo, 15–60 min → 37,5 min) o puntos representativos acordados.</w:t>
      </w:r>
      <w:r/>
      <w:r>
        <w:br/>
        <w:t>- Para niveles de madurez, definir una escala 1–5 (Inicial–Líder).</w:t>
      </w:r>
      <w:r/>
      <w:r>
        <w:br/>
        <w:t>- Para percepciones (valor de SOAR, impacto en tiempos), asignar puntuaciones ordenadas (p. ej. de “empeoramiento” a “disminución &gt; 50 %”).</w:t>
      </w:r>
    </w:p>
    <w:p>
      <w:r>
        <w:t>Cuando se disponga de suficientes respuestas, se podrán calcular:</w:t>
      </w:r>
      <w:r/>
      <w:r>
        <w:br/>
        <w:t>- Promedios y medianas por sector / tamaño.</w:t>
      </w:r>
      <w:r/>
      <w:r>
        <w:br/>
        <w:t>- Distribuciones de frecuencia.</w:t>
      </w:r>
      <w:r/>
      <w:r>
        <w:br/>
        <w:t>- Correlaciones simples entre madurez / cobertura de automatización y tiempos / percepción de impacto.</w:t>
      </w:r>
    </w:p>
    <w:p>
      <w:pPr>
        <w:pStyle w:val="Heading2"/>
        <w:keepNext/>
        <w:keepLines/>
      </w:pPr>
      <w:r>
        <w:rPr>
          <w:color w:val="0066CC"/>
        </w:rPr>
        <w:t>6. Indicador Global de Madurez (IGM)</w:t>
      </w:r>
    </w:p>
    <w:p>
      <w:r>
        <w:t xml:space="preserve">La encuesta está pensada para poder construir un </w:t>
      </w:r>
      <w:r>
        <w:rPr>
          <w:b/>
        </w:rPr>
        <w:t>Indicador Global de Madurez (IGM)</w:t>
      </w:r>
      <w:r>
        <w:t xml:space="preserve"> SOAR por organización, a partir de:</w:t>
      </w:r>
    </w:p>
    <w:p>
      <w:pPr>
        <w:pStyle w:val="ListBullet"/>
        <w:keepLines w:val="1"/>
        <w:keepNext w:val="1"/>
        <w:widowControl w:val="1"/>
      </w:pPr>
      <w:r>
        <w:t xml:space="preserve">Eje Gobierno y estrategia: P5, P7, P8, P25.  </w:t>
      </w:r>
    </w:p>
    <w:p>
      <w:pPr>
        <w:pStyle w:val="ListBullet"/>
        <w:keepLines w:val="1"/>
        <w:keepNext w:val="1"/>
        <w:widowControl w:val="1"/>
      </w:pPr>
      <w:r>
        <w:t xml:space="preserve">Eje Operación y cobertura: P9–13, P26–28.  </w:t>
      </w:r>
    </w:p>
    <w:p>
      <w:pPr>
        <w:pStyle w:val="ListBullet"/>
        <w:keepLines w:val="1"/>
        <w:keepNext w:val="1"/>
        <w:widowControl w:val="1"/>
      </w:pPr>
      <w:r>
        <w:t xml:space="preserve">Eje Métricas y calidad: P14–24.  </w:t>
      </w:r>
    </w:p>
    <w:p>
      <w:pPr>
        <w:pStyle w:val="ListBullet"/>
        <w:keepLines w:val="1"/>
        <w:keepNext w:val="1"/>
        <w:widowControl w:val="1"/>
      </w:pPr>
      <w:r>
        <w:t xml:space="preserve">Eje Regulación y reporting: P29–32.  </w:t>
      </w:r>
    </w:p>
    <w:p>
      <w:pPr>
        <w:pStyle w:val="ListBullet"/>
        <w:keepLines w:val="1"/>
        <w:keepNext w:val="1"/>
        <w:widowControl w:val="1"/>
      </w:pPr>
      <w:r>
        <w:t xml:space="preserve">Eje Impacto y ROI: P33–36.  </w:t>
      </w:r>
    </w:p>
    <w:p>
      <w:pPr>
        <w:pStyle w:val="ListBullet"/>
        <w:keepLines w:val="1"/>
        <w:widowControl w:val="1"/>
      </w:pPr>
      <w:r>
        <w:t>Eje Futuro e innovación: P37–40.</w:t>
      </w:r>
    </w:p>
    <w:p>
      <w:r>
        <w:t>Cada eje se evalúa en una escala normalizada (0–100), y el IGM global se obtiene como combinación ponderada de los ejes (por ejemplo, ponderación uniforme, o mayor peso para operación y métricas).</w:t>
      </w:r>
    </w:p>
    <w:p>
      <w:r>
        <w:t>La plantilla de Excel propuesta (documento e) describe una implementación posible.</w:t>
      </w:r>
    </w:p>
    <w:p>
      <w:pPr>
        <w:pStyle w:val="Heading2"/>
        <w:keepNext/>
        <w:keepLines/>
      </w:pPr>
      <w:r>
        <w:rPr>
          <w:color w:val="0066CC"/>
        </w:rPr>
        <w:t>7. Medición del ROI de SOAR</w:t>
      </w:r>
    </w:p>
    <w:p>
      <w:r>
        <w:t>El cuestionario no pretende capturar valores económicos exactos, sino preparar el terreno para:</w:t>
      </w:r>
      <w:r/>
      <w:r>
        <w:br/>
        <w:t>- Estimaciones de reducción de tiempos pre‑ y post‑SOAR (P18).</w:t>
      </w:r>
      <w:r/>
      <w:r>
        <w:br/>
        <w:t>- Grado de formalización del cálculo de costes de incidentes (P33–34).</w:t>
      </w:r>
      <w:r/>
      <w:r>
        <w:br/>
        <w:t>- Existencia y calidad percibida de modelos de ROI (P35–36).</w:t>
      </w:r>
    </w:p>
    <w:p>
      <w:r>
        <w:t>Estos datos permiten, combinados con parámetros de coste medio de incidentes (externos o internos), estimar rangos de ROI y construir escenarios de sensibilidad.</w:t>
      </w:r>
    </w:p>
    <w:p>
      <w:pPr>
        <w:pStyle w:val="Heading2"/>
        <w:keepNext/>
        <w:keepLines/>
      </w:pPr>
      <w:r>
        <w:rPr>
          <w:color w:val="0066CC"/>
        </w:rPr>
        <w:t>8. Aspectos éticos y de confidencialidad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 xml:space="preserve">Garantizar el anonimato de las respuestas en los informes públicos.  </w:t>
      </w:r>
    </w:p>
    <w:p>
      <w:pPr>
        <w:pStyle w:val="ListBullet"/>
        <w:keepLines w:val="1"/>
        <w:keepNext w:val="1"/>
        <w:widowControl w:val="1"/>
      </w:pPr>
      <w:r>
        <w:t xml:space="preserve">Firmar acuerdos de confidencialidad con las organizaciones participantes, especialmente cuando se recaben datos sobre tiempos de respuesta, costes o cumplimiento regulatorio.  </w:t>
      </w:r>
    </w:p>
    <w:p>
      <w:pPr>
        <w:pStyle w:val="ListBullet"/>
        <w:keepLines w:val="1"/>
        <w:widowControl w:val="1"/>
      </w:pPr>
      <w:r>
        <w:t>Asegurar que los resultados se presenten de forma agregada por sector / tamaño para evitar identificaciones accidentales.</w:t>
      </w:r>
    </w:p>
    <w:p>
      <w:pPr>
        <w:pStyle w:val="Heading2"/>
        <w:keepNext/>
        <w:keepLines/>
      </w:pPr>
      <w:r>
        <w:rPr>
          <w:color w:val="0066CC"/>
        </w:rPr>
        <w:t>9. Procedimiento de recogida</w:t>
      </w:r>
    </w:p>
    <w:p>
      <w:pPr>
        <w:pStyle w:val="ListBullet"/>
        <w:keepLines w:val="1"/>
        <w:keepNext w:val="1"/>
        <w:widowControl w:val="1"/>
      </w:pPr>
      <w:r>
        <w:t xml:space="preserve">Modalidad: cuestionario online (preferiblemente), con posibilidad de entrevistas semiestructuradas para clarificar extremos en organizaciones clave.  </w:t>
      </w:r>
    </w:p>
    <w:p>
      <w:pPr>
        <w:pStyle w:val="ListBullet"/>
        <w:keepLines w:val="1"/>
        <w:keepNext w:val="1"/>
        <w:widowControl w:val="1"/>
      </w:pPr>
      <w:r>
        <w:t xml:space="preserve">Duración estimada: 20–30 minutos.  </w:t>
      </w:r>
    </w:p>
    <w:p>
      <w:pPr>
        <w:pStyle w:val="ListBullet"/>
        <w:keepLines w:val="1"/>
        <w:keepNext w:val="1"/>
        <w:widowControl w:val="1"/>
      </w:pPr>
      <w:r>
        <w:t xml:space="preserve">Periodo de campo sugerido: 8–12 semanas, con recordatorios escalonados.  </w:t>
      </w:r>
    </w:p>
    <w:p>
      <w:pPr>
        <w:pStyle w:val="ListBullet"/>
        <w:keepLines w:val="1"/>
        <w:widowControl w:val="1"/>
      </w:pPr>
      <w:r>
        <w:t>Tasa de respuesta objetivo: al menos 30–40 % en sectores prioritarios.</w:t>
      </w:r>
    </w:p>
    <w:p>
      <w:r>
        <w:t>Superada la fase de recogida, se recomienda:</w:t>
      </w:r>
    </w:p>
    <w:p>
      <w:pPr>
        <w:pStyle w:val="ListNumber"/>
        <w:keepLines w:val="1"/>
        <w:keepNext w:val="1"/>
        <w:widowControl w:val="1"/>
      </w:pPr>
      <w:r>
        <w:t xml:space="preserve">Limpieza de datos (detección de inconsistencias, respuestas incompletas).  </w:t>
      </w:r>
    </w:p>
    <w:p>
      <w:pPr>
        <w:pStyle w:val="ListNumber"/>
        <w:keepLines w:val="1"/>
        <w:keepNext w:val="1"/>
        <w:widowControl w:val="1"/>
      </w:pPr>
      <w:r>
        <w:t xml:space="preserve">Construcción de los ejes de madurez e IGM.  </w:t>
      </w:r>
    </w:p>
    <w:p>
      <w:pPr>
        <w:pStyle w:val="ListNumber"/>
        <w:keepLines w:val="1"/>
        <w:keepNext w:val="1"/>
        <w:widowControl w:val="1"/>
      </w:pPr>
      <w:r>
        <w:t xml:space="preserve">Análisis comparativos (sector, tamaño, naturaleza).  </w:t>
      </w:r>
    </w:p>
    <w:p>
      <w:pPr>
        <w:pStyle w:val="ListNumber"/>
        <w:keepLines w:val="1"/>
        <w:widowControl w:val="1"/>
      </w:pPr>
      <w:r>
        <w:t>Elaboración de un informe ejecutivo y, en su caso, informes personalizados para entidades que lo soliciten.</w:t>
      </w:r>
    </w:p>
    <w:p>
      <w:pPr>
        <w:pStyle w:val="Heading2"/>
        <w:keepNext/>
        <w:keepLines/>
      </w:pPr>
      <w:r>
        <w:rPr>
          <w:color w:val="0066CC"/>
        </w:rPr>
        <w:t>10. Limitaciones y sesgos</w:t>
      </w:r>
    </w:p>
    <w:p>
      <w:r>
        <w:t>Entre las limitaciones previsibles:</w:t>
      </w:r>
    </w:p>
    <w:p>
      <w:pPr>
        <w:pStyle w:val="ListBullet"/>
        <w:keepLines w:val="1"/>
        <w:keepNext w:val="1"/>
        <w:widowControl w:val="1"/>
      </w:pPr>
      <w:r>
        <w:t xml:space="preserve">Sesgo de autoselección: es probable que respondan más las organizaciones con cierta sensibilidad en ciberseguridad.  </w:t>
      </w:r>
    </w:p>
    <w:p>
      <w:pPr>
        <w:pStyle w:val="ListBullet"/>
        <w:keepLines w:val="1"/>
        <w:keepNext w:val="1"/>
        <w:widowControl w:val="1"/>
      </w:pPr>
      <w:r>
        <w:t xml:space="preserve">Sesgo de deseabilidad: tendencia a presentar una imagen “mejorada” de las capacidades reales de automatización y métricas.  </w:t>
      </w:r>
    </w:p>
    <w:p>
      <w:pPr>
        <w:pStyle w:val="ListBullet"/>
        <w:keepLines w:val="1"/>
        <w:widowControl w:val="1"/>
      </w:pPr>
      <w:r>
        <w:t>Diferencias de interpretación: términos como “automatización”, “playbook” o incluso “incidente crítico” pueden variar entre organizaciones.</w:t>
      </w:r>
    </w:p>
    <w:p>
      <w:r>
        <w:t>La guía metodológica sugiere mitigar estos sesgos mediante:</w:t>
      </w:r>
      <w:r/>
      <w:r>
        <w:br/>
        <w:t>- Definiciones claras al inicio del cuestionario.</w:t>
      </w:r>
      <w:r/>
      <w:r>
        <w:br/>
        <w:t>- Notas explicativas junto a las preguntas críticas.</w:t>
      </w:r>
      <w:r/>
      <w:r>
        <w:br/>
        <w:t>- Posibilidad de entrevistas de contraste con una submuestra de organizaciones.</w:t>
      </w:r>
    </w:p>
    <w:p>
      <w:pPr>
        <w:pStyle w:val="Heading2"/>
        <w:keepNext/>
        <w:keepLines/>
      </w:pPr>
      <w:r>
        <w:rPr>
          <w:color w:val="0066CC"/>
        </w:rPr>
        <w:t>11. Uso de los resultados</w:t>
      </w:r>
    </w:p>
    <w:p>
      <w:r>
        <w:t>Los resultados de la encuesta pueden alimentar:</w:t>
      </w:r>
    </w:p>
    <w:p>
      <w:pPr>
        <w:pStyle w:val="ListBullet"/>
        <w:keepLines w:val="1"/>
        <w:keepNext w:val="1"/>
        <w:widowControl w:val="1"/>
      </w:pPr>
      <w:r>
        <w:t xml:space="preserve">La definición de políticas públicas y líneas de apoyo a la automatización y SOAR.  </w:t>
      </w:r>
    </w:p>
    <w:p>
      <w:pPr>
        <w:pStyle w:val="ListBullet"/>
        <w:keepLines w:val="1"/>
        <w:keepNext w:val="1"/>
        <w:widowControl w:val="1"/>
      </w:pPr>
      <w:r>
        <w:t xml:space="preserve">La actualización de marcos nacionales de ciberseguridad y continuidad de negocio.  </w:t>
      </w:r>
    </w:p>
    <w:p>
      <w:pPr>
        <w:pStyle w:val="ListBullet"/>
        <w:keepLines w:val="1"/>
        <w:keepNext w:val="1"/>
        <w:widowControl w:val="1"/>
      </w:pPr>
      <w:r>
        <w:t xml:space="preserve">La comparación con métricas europeas y globales.  </w:t>
      </w:r>
    </w:p>
    <w:p>
      <w:pPr>
        <w:pStyle w:val="ListBullet"/>
        <w:keepLines w:val="1"/>
        <w:widowControl w:val="1"/>
      </w:pPr>
      <w:r>
        <w:t>La elaboración de benchmarks sectoriales para que las organizaciones se posicionen frente a pares.</w:t>
      </w:r>
    </w:p>
    <w:p>
      <w:r>
        <w:t>Idealmente, el ejercicio debería repetirse cada 2–3 años para observar tendencias e impactos reales de las estrategias de automatización.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