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SOAR</w:t>
      </w:r>
    </w:p>
    <w:p>
      <w:r>
        <w:t>La encuesta que tiene usted entre manos no pretende ser un mero interrogatorio burocrático, sino una excusa razonablemente elegante para que organizaciones muy distintas hablen de lo mismo cuando dicen “automatización”, “playbook” o “respuesta en tiempo real”.</w:t>
      </w:r>
      <w:r/>
      <w:r>
        <w:br/>
        <w:t>En un mundo donde cualquiera puede afirmar que tiene un SOC “con IA y automatización avanzada” con solo pulsar un botón en una presentación, medir se ha vuelto un acto de higiene intelectual.</w:t>
      </w:r>
    </w:p>
    <w:p>
      <w:pPr>
        <w:pStyle w:val="Heading2"/>
        <w:keepNext/>
        <w:keepLines/>
      </w:pPr>
      <w:r>
        <w:rPr>
          <w:color w:val="0066CC"/>
        </w:rPr>
        <w:t>1. ¿Por qué preguntar por SOAR ahora?</w:t>
      </w:r>
    </w:p>
    <w:p>
      <w:r>
        <w:t>En los últimos años, el volumen de incidentes detectados por organismos como INCIBE y ENISA ha crecido de forma sostenida, mientras las obligaciones regulatorias (NIS2, ENS, regulaciones sectoriales) se han vuelto más precisas y menos indulgentes con la improvisación.</w:t>
      </w:r>
      <w:r/>
      <w:r>
        <w:br/>
        <w:t>En paralelo, el mercado ha inundado a CISOs y responsables de SOC con promesas de automatización casi mágica, a veces sin un correlato claro en las métricas que de verdad importan: cuánto tardamos en detectar, contener y recuperarnos, cuánto daño evitamos, cuánto nos cuesta todo esto.</w:t>
      </w:r>
    </w:p>
    <w:p>
      <w:r>
        <w:t>La encuesta nace precisamente en este cruce: entre la presión por hacer más con menos y la necesidad de demostrar que las inversiones en SOAR generan mejoras tangibles y medibles.</w:t>
      </w:r>
    </w:p>
    <w:p>
      <w:pPr>
        <w:pStyle w:val="Heading2"/>
        <w:keepNext/>
        <w:keepLines/>
      </w:pPr>
      <w:r>
        <w:rPr>
          <w:color w:val="0066CC"/>
        </w:rPr>
        <w:t>2. Lo que la encuesta quiere desentrañar (y lo que no)</w:t>
      </w:r>
    </w:p>
    <w:p>
      <w:r>
        <w:t>La encuesta aspira a desentrañar, con cierto rigor y sin dramatismos, cuestiones como:</w:t>
      </w:r>
    </w:p>
    <w:p>
      <w:pPr>
        <w:pStyle w:val="ListBullet"/>
        <w:keepLines w:val="1"/>
        <w:keepNext w:val="1"/>
        <w:widowControl w:val="1"/>
      </w:pPr>
      <w:r>
        <w:t xml:space="preserve">Si su organización mide de forma sistemática indicadores como MTTD, MTTR y tasas de falsos positivos, o si todo descansa en la intuición de unos pocos héroes del SOC.  </w:t>
      </w:r>
    </w:p>
    <w:p>
      <w:pPr>
        <w:pStyle w:val="ListBullet"/>
        <w:keepLines w:val="1"/>
        <w:keepNext w:val="1"/>
        <w:widowControl w:val="1"/>
      </w:pPr>
      <w:r>
        <w:t xml:space="preserve">Hasta qué punto los playbooks y la automatización cubren los tipos de incidentes que realmente les quitan el sueño (ransomware, fraude, OT, etc.), y no solo los casos de uso “de demo”.  </w:t>
      </w:r>
    </w:p>
    <w:p>
      <w:pPr>
        <w:pStyle w:val="ListBullet"/>
        <w:keepLines w:val="1"/>
        <w:keepNext w:val="1"/>
        <w:widowControl w:val="1"/>
      </w:pPr>
      <w:r>
        <w:t xml:space="preserve">Cómo se articula la relación entre automatización y cumplimiento: notificaciones a CNCS, INCIBE, reguladores sectoriales, informes ENS, auditorías y demás fauna regulatoria.  </w:t>
      </w:r>
    </w:p>
    <w:p>
      <w:pPr>
        <w:pStyle w:val="ListBullet"/>
        <w:keepLines w:val="1"/>
        <w:keepNext w:val="1"/>
        <w:widowControl w:val="1"/>
      </w:pPr>
      <w:r>
        <w:t xml:space="preserve">Si el coste de los incidentes se estima con alguna base actuarial o sigue perteneciendo al género de la literatura fantástica.  </w:t>
      </w:r>
    </w:p>
    <w:p>
      <w:pPr>
        <w:pStyle w:val="ListBullet"/>
        <w:keepLines w:val="1"/>
        <w:widowControl w:val="1"/>
      </w:pPr>
      <w:r>
        <w:t>Y, finalmente, cómo percibe la dirección el valor de todo este invento llamado SOAR.</w:t>
      </w:r>
    </w:p>
    <w:p>
      <w:r>
        <w:t>Lo que la encuesta no pretende es:</w:t>
      </w:r>
    </w:p>
    <w:p>
      <w:pPr>
        <w:pStyle w:val="ListBullet"/>
        <w:keepLines w:val="1"/>
        <w:keepNext w:val="1"/>
        <w:widowControl w:val="1"/>
      </w:pPr>
      <w:r>
        <w:t xml:space="preserve">Evaluar la “madurez espiritual” de su organización.  </w:t>
      </w:r>
    </w:p>
    <w:p>
      <w:pPr>
        <w:pStyle w:val="ListBullet"/>
        <w:keepLines w:val="1"/>
        <w:keepNext w:val="1"/>
        <w:widowControl w:val="1"/>
      </w:pPr>
      <w:r>
        <w:t xml:space="preserve">Establecer rankings de humillación pública.  </w:t>
      </w:r>
    </w:p>
    <w:p>
      <w:pPr>
        <w:pStyle w:val="ListBullet"/>
        <w:keepLines w:val="1"/>
        <w:widowControl w:val="1"/>
      </w:pPr>
      <w:r>
        <w:t>Dictar qué fabricante o arquitectura es la correcta.</w:t>
      </w:r>
    </w:p>
    <w:p>
      <w:r>
        <w:t>Lo que se busca es ganar claridad colectiva: saber dónde estamos, qué funciona, qué no y hacia dónde merece la pena dirigir el siguiente euro de inversión.</w:t>
      </w:r>
    </w:p>
    <w:p>
      <w:pPr>
        <w:pStyle w:val="Heading2"/>
        <w:keepNext/>
        <w:keepLines/>
      </w:pPr>
      <w:r>
        <w:rPr>
          <w:color w:val="0066CC"/>
        </w:rPr>
        <w:t>3. El tono de las preguntas: entre la precisión y la autoironía</w:t>
      </w:r>
    </w:p>
    <w:p>
      <w:r>
        <w:t>Algunas preguntas pueden parecerle excesivamente específicas (“¿cuál es el porcentaje de incidentes reabiertos tras cierre automático?”), pero no son capricho: detrás hay experiencias de incidentes en que la automatización fue tan entusiasta como desastrosa.</w:t>
      </w:r>
      <w:r/>
      <w:r>
        <w:br/>
        <w:t>La encuesta intenta equilibrar el detalle técnico con una cierta autoironía, porque todos sabemos que la diferencia entre “tenemos MTTD de 10 minutos” y “tenemos MTTD de 10 minutos medidos y auditables” es más que semántica.</w:t>
      </w:r>
    </w:p>
    <w:p>
      <w:r>
        <w:t>Las preguntas abiertas al final no son decorativas: muchas innovaciones, atajos y desastres memorables no caben en una casilla de selección.</w:t>
      </w:r>
      <w:r/>
      <w:r>
        <w:br/>
        <w:t>Es ahí donde puede contar la historia del playbook que bloqueó por error el core bancario, o de aquella automatización que salvó un fin de semana al SOC y al departamento de Recursos Humanos.</w:t>
      </w:r>
    </w:p>
    <w:p>
      <w:pPr>
        <w:pStyle w:val="Heading2"/>
        <w:keepNext/>
        <w:keepLines/>
      </w:pPr>
      <w:r>
        <w:rPr>
          <w:color w:val="0066CC"/>
        </w:rPr>
        <w:t>4. Cómo leer luego los resultados</w:t>
      </w:r>
    </w:p>
    <w:p>
      <w:r>
        <w:t>Una vez recogidas las respuestas, la idea es:</w:t>
      </w:r>
    </w:p>
    <w:p>
      <w:pPr>
        <w:pStyle w:val="ListBullet"/>
        <w:keepLines w:val="1"/>
        <w:keepNext w:val="1"/>
        <w:widowControl w:val="1"/>
      </w:pPr>
      <w:r>
        <w:t xml:space="preserve">Construir indicadores de madurez que permitan comparar organizaciones consigo mismas en el tiempo, más que fomentar comparaciones inútiles entre realidades incomparables.  </w:t>
      </w:r>
    </w:p>
    <w:p>
      <w:pPr>
        <w:pStyle w:val="ListBullet"/>
        <w:keepLines w:val="1"/>
        <w:keepNext w:val="1"/>
        <w:widowControl w:val="1"/>
      </w:pPr>
      <w:r>
        <w:t xml:space="preserve">Entender qué factores (tamaño, sector, modelo de SOC, grado de automatización) se asocian con mejores tiempos, menor siniestralidad y mayor comodidad regulatoria.  </w:t>
      </w:r>
    </w:p>
    <w:p>
      <w:pPr>
        <w:pStyle w:val="ListBullet"/>
        <w:keepLines w:val="1"/>
        <w:widowControl w:val="1"/>
      </w:pPr>
      <w:r>
        <w:t>Identificar dónde la automatización aporta valor real y dónde se limita a mover el problema de un dashboard a otro.</w:t>
      </w:r>
    </w:p>
    <w:p>
      <w:r>
        <w:t>La narrativa que se derive de la encuesta debería ayudar a pasar de frases del tipo “tenemos un SOC moderno” a afirmaciones como “hemos reducido el MTTR en un 40 % para incidentes críticos en los últimos dos años, gracias a x y a y”.</w:t>
      </w:r>
    </w:p>
    <w:p>
      <w:pPr>
        <w:pStyle w:val="Heading2"/>
        <w:keepNext/>
        <w:keepLines/>
      </w:pPr>
      <w:r>
        <w:rPr>
          <w:color w:val="0066CC"/>
        </w:rPr>
        <w:t>5. La promesa implícita</w:t>
      </w:r>
    </w:p>
    <w:p>
      <w:r>
        <w:t>Responder a la encuesta implica aceptar una pequeña incomodidad: mirarse en un espejo que puede que no devuelva la imagen más favorecedora del SOC de sus sueños.</w:t>
      </w:r>
      <w:r/>
      <w:r>
        <w:br/>
        <w:t>A cambio, ofrece la posibilidad de participar en la construcción de un lenguaje común sobre automatización y respuesta, en un país y un contexto donde los incidentes se cuentan por decenas de miles al año.</w:t>
      </w:r>
    </w:p>
    <w:p>
      <w:r>
        <w:t>La promesa, en el fondo, es sencilla: que la próxima vez que alguien en una reunión diga “nuestro SOAR está funcionando muy bien”, haya números que respalden la frase, o al menos que sepamos cuánto nos falta para que sea verdad.</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