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– Resultados Encuesta SOAR</w:t>
      </w:r>
    </w:p>
    <w:p>
      <w:r>
        <w:t>Estructura pensada para una presentación de 12–16 diapositivas, adaptable a audiencias directivas, reguladores y foros sectoriales.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Encuesta SOAR España – Resultados Ejecutivos </w:t>
      </w:r>
    </w:p>
    <w:p>
      <w:pPr>
        <w:pStyle w:val="ListBullet"/>
        <w:keepLines w:val="1"/>
        <w:keepNext w:val="1"/>
        <w:widowControl w:val="1"/>
      </w:pPr>
      <w:r>
        <w:t xml:space="preserve">Subtítulo: Madurez, automatización y métricas en la respuesta a incidentes.  </w:t>
      </w:r>
    </w:p>
    <w:p>
      <w:pPr>
        <w:pStyle w:val="ListBullet"/>
        <w:keepLines w:val="1"/>
        <w:keepNext w:val="1"/>
        <w:widowControl w:val="1"/>
      </w:pPr>
      <w:r>
        <w:t xml:space="preserve">Logos de las entidades promotoras.  </w:t>
      </w:r>
    </w:p>
    <w:p>
      <w:pPr>
        <w:pStyle w:val="ListBullet"/>
        <w:keepLines w:val="1"/>
        <w:widowControl w:val="1"/>
      </w:pPr>
      <w:r>
        <w:t>Fecha.</w:t>
      </w:r>
    </w:p>
    <w:p>
      <w:pPr>
        <w:pStyle w:val="Heading2"/>
        <w:keepNext/>
        <w:keepLines/>
      </w:pPr>
      <w:r>
        <w:rPr>
          <w:color w:val="0066CC"/>
        </w:rPr>
        <w:t>Diapositiva 2 – Contexto y objetivos</w:t>
      </w:r>
    </w:p>
    <w:p>
      <w:pPr>
        <w:pStyle w:val="ListBullet"/>
        <w:keepLines w:val="1"/>
        <w:keepNext w:val="1"/>
        <w:widowControl w:val="1"/>
      </w:pPr>
      <w:r>
        <w:t xml:space="preserve">Breve contexto: volumen de incidentes en España, NIS2, ENS.  </w:t>
      </w:r>
    </w:p>
    <w:p>
      <w:pPr>
        <w:pStyle w:val="ListBullet"/>
        <w:keepLines w:val="1"/>
        <w:keepNext w:val="1"/>
        <w:widowControl w:val="1"/>
      </w:pPr>
      <w:r>
        <w:t xml:space="preserve">Objetivos de la encuesta: medir madurez SOAR, tiempos, coberturas, impacto.  </w:t>
      </w:r>
    </w:p>
    <w:p>
      <w:pPr>
        <w:pStyle w:val="ListBullet"/>
        <w:keepLines w:val="1"/>
        <w:widowControl w:val="1"/>
      </w:pPr>
      <w:r>
        <w:t>Población objetivo: CISO, SOC, responsables de seguridad.</w:t>
      </w:r>
    </w:p>
    <w:p>
      <w:pPr>
        <w:pStyle w:val="Heading2"/>
        <w:keepNext/>
        <w:keepLines/>
      </w:pPr>
      <w:r>
        <w:rPr>
          <w:color w:val="0066CC"/>
        </w:rPr>
        <w:t>Diapositiva 3 – Metodología</w:t>
      </w:r>
    </w:p>
    <w:p>
      <w:pPr>
        <w:pStyle w:val="ListBullet"/>
        <w:keepLines w:val="1"/>
        <w:keepNext w:val="1"/>
        <w:widowControl w:val="1"/>
      </w:pPr>
      <w:r>
        <w:t xml:space="preserve">Breve descripción del cuestionario y dimensiones.  </w:t>
      </w:r>
    </w:p>
    <w:p>
      <w:pPr>
        <w:pStyle w:val="ListBullet"/>
        <w:keepLines w:val="1"/>
        <w:keepNext w:val="1"/>
        <w:widowControl w:val="1"/>
      </w:pPr>
      <w:r>
        <w:t xml:space="preserve">Período de campo, nº de respuestas válidas, sectores cubiertos.  </w:t>
      </w:r>
    </w:p>
    <w:p>
      <w:pPr>
        <w:pStyle w:val="ListBullet"/>
        <w:keepLines w:val="1"/>
        <w:widowControl w:val="1"/>
      </w:pPr>
      <w:r>
        <w:t>Nota sobre anonimato y tratamiento de datos.</w:t>
      </w:r>
    </w:p>
    <w:p>
      <w:pPr>
        <w:pStyle w:val="Heading2"/>
        <w:keepNext/>
        <w:keepLines/>
      </w:pPr>
      <w:r>
        <w:rPr>
          <w:color w:val="0066CC"/>
        </w:rPr>
        <w:t>Diapositiva 4 – Perfil de la muestra</w:t>
      </w:r>
    </w:p>
    <w:p>
      <w:pPr>
        <w:pStyle w:val="ListBullet"/>
        <w:keepLines w:val="1"/>
        <w:keepNext w:val="1"/>
        <w:widowControl w:val="1"/>
      </w:pPr>
      <w:r>
        <w:t xml:space="preserve">Gráfico de barras / donut por sector.  </w:t>
      </w:r>
    </w:p>
    <w:p>
      <w:pPr>
        <w:pStyle w:val="ListBullet"/>
        <w:keepLines w:val="1"/>
        <w:keepNext w:val="1"/>
        <w:widowControl w:val="1"/>
      </w:pPr>
      <w:r>
        <w:t xml:space="preserve">Gráfico por tamaño de organización.  </w:t>
      </w:r>
    </w:p>
    <w:p>
      <w:pPr>
        <w:pStyle w:val="ListBullet"/>
        <w:keepLines w:val="1"/>
        <w:widowControl w:val="1"/>
      </w:pPr>
      <w:r>
        <w:t>Gráfico público vs privado, NIS2/ENS.</w:t>
      </w:r>
    </w:p>
    <w:p>
      <w:pPr>
        <w:pStyle w:val="Heading2"/>
        <w:keepNext/>
        <w:keepLines/>
      </w:pPr>
      <w:r>
        <w:rPr>
          <w:color w:val="0066CC"/>
        </w:rPr>
        <w:t>Diapositiva 5 – Madurez global SOAR (IGM)</w:t>
      </w:r>
    </w:p>
    <w:p>
      <w:pPr>
        <w:pStyle w:val="ListBullet"/>
        <w:keepLines w:val="1"/>
        <w:keepNext w:val="1"/>
        <w:widowControl w:val="1"/>
      </w:pPr>
      <w:r>
        <w:t xml:space="preserve">Gráfico de barras con distribución de IGM (promedio, mediana, percentiles).  </w:t>
      </w:r>
    </w:p>
    <w:p>
      <w:pPr>
        <w:pStyle w:val="ListBullet"/>
        <w:keepLines w:val="1"/>
        <w:keepNext w:val="1"/>
        <w:widowControl w:val="1"/>
      </w:pPr>
      <w:r>
        <w:t xml:space="preserve">Tabla con categorías (Inicial, Básica, Intermedia, Avanzada, Líder).  </w:t>
      </w:r>
    </w:p>
    <w:p>
      <w:pPr>
        <w:pStyle w:val="ListBullet"/>
        <w:keepLines w:val="1"/>
        <w:widowControl w:val="1"/>
      </w:pPr>
      <w:r>
        <w:t>Comentario breve sobre dónde se sitúa la “masa crítica”.</w:t>
      </w:r>
    </w:p>
    <w:p>
      <w:pPr>
        <w:pStyle w:val="Heading2"/>
        <w:keepNext/>
        <w:keepLines/>
      </w:pPr>
      <w:r>
        <w:rPr>
          <w:color w:val="0066CC"/>
        </w:rPr>
        <w:t>Diapositiva 6 – Madurez por sector</w:t>
      </w:r>
    </w:p>
    <w:p>
      <w:pPr>
        <w:pStyle w:val="ListBullet"/>
        <w:keepLines w:val="1"/>
        <w:keepNext w:val="1"/>
        <w:widowControl w:val="1"/>
      </w:pPr>
      <w:r>
        <w:t xml:space="preserve">Gráfico comparativo por sector (barras horizontales con IGM medio).  </w:t>
      </w:r>
    </w:p>
    <w:p>
      <w:pPr>
        <w:pStyle w:val="ListBullet"/>
        <w:keepLines w:val="1"/>
        <w:keepNext w:val="1"/>
        <w:widowControl w:val="1"/>
      </w:pPr>
      <w:r>
        <w:t xml:space="preserve">Identificación de sectores más rezagados y más avanzados.  </w:t>
      </w:r>
    </w:p>
    <w:p>
      <w:pPr>
        <w:pStyle w:val="ListBullet"/>
        <w:keepLines w:val="1"/>
        <w:widowControl w:val="1"/>
      </w:pPr>
      <w:r>
        <w:t>Nota prudente sobre interpretación (diferencias de muestra).</w:t>
      </w:r>
    </w:p>
    <w:p>
      <w:pPr>
        <w:pStyle w:val="Heading2"/>
        <w:keepNext/>
        <w:keepLines/>
      </w:pPr>
      <w:r>
        <w:rPr>
          <w:color w:val="0066CC"/>
        </w:rPr>
        <w:t>Diapositiva 7 – Gobierno y estrategia</w:t>
      </w:r>
    </w:p>
    <w:p>
      <w:pPr>
        <w:pStyle w:val="ListBullet"/>
        <w:keepLines w:val="1"/>
        <w:keepNext w:val="1"/>
        <w:widowControl w:val="1"/>
      </w:pPr>
      <w:r>
        <w:t xml:space="preserve">Gráfico de barras: nivel de formalización del gobierno SOAR.  </w:t>
      </w:r>
    </w:p>
    <w:p>
      <w:pPr>
        <w:pStyle w:val="ListBullet"/>
        <w:keepLines w:val="1"/>
        <w:keepNext w:val="1"/>
        <w:widowControl w:val="1"/>
      </w:pPr>
      <w:r>
        <w:t xml:space="preserve">% de organizaciones con hoja de ruta formal.  </w:t>
      </w:r>
    </w:p>
    <w:p>
      <w:pPr>
        <w:pStyle w:val="ListBullet"/>
        <w:keepLines w:val="1"/>
        <w:widowControl w:val="1"/>
      </w:pPr>
      <w:r>
        <w:t>Comentario sobre relación con cumplimiento NIS2/ENS.</w:t>
      </w:r>
    </w:p>
    <w:p>
      <w:pPr>
        <w:pStyle w:val="Heading2"/>
        <w:keepNext/>
        <w:keepLines/>
      </w:pPr>
      <w:r>
        <w:rPr>
          <w:color w:val="0066CC"/>
        </w:rPr>
        <w:t>Diapositiva 8 – Operación del SOC y cobertura de automatización</w:t>
      </w:r>
    </w:p>
    <w:p>
      <w:pPr>
        <w:pStyle w:val="ListBullet"/>
        <w:keepLines w:val="1"/>
        <w:keepNext w:val="1"/>
        <w:widowControl w:val="1"/>
      </w:pPr>
      <w:r>
        <w:t xml:space="preserve">Gráfico sobre modelos de SOC (interno, externo, híbrido).  </w:t>
      </w:r>
    </w:p>
    <w:p>
      <w:pPr>
        <w:pStyle w:val="ListBullet"/>
        <w:keepLines w:val="1"/>
        <w:keepNext w:val="1"/>
        <w:widowControl w:val="1"/>
      </w:pPr>
      <w:r>
        <w:t xml:space="preserve">Gráfico sobre % de alertas gestionadas con automatización.  </w:t>
      </w:r>
    </w:p>
    <w:p>
      <w:pPr>
        <w:pStyle w:val="ListBullet"/>
        <w:keepLines w:val="1"/>
        <w:widowControl w:val="1"/>
      </w:pPr>
      <w:r>
        <w:t>Comentario sobre diferencias por tamaño / sector.</w:t>
      </w:r>
    </w:p>
    <w:p>
      <w:pPr>
        <w:pStyle w:val="Heading2"/>
        <w:keepNext/>
        <w:keepLines/>
      </w:pPr>
      <w:r>
        <w:rPr>
          <w:color w:val="0066CC"/>
        </w:rPr>
        <w:t>Diapositiva 9 – Métricas de tiempo (MTTD, MTTR)</w:t>
      </w:r>
    </w:p>
    <w:p>
      <w:pPr>
        <w:pStyle w:val="ListBullet"/>
        <w:keepLines w:val="1"/>
        <w:keepNext w:val="1"/>
        <w:widowControl w:val="1"/>
      </w:pPr>
      <w:r>
        <w:t xml:space="preserve">Gráficos de distribución de MTTD y MTTR para incidentes críticos.  </w:t>
      </w:r>
    </w:p>
    <w:p>
      <w:pPr>
        <w:pStyle w:val="ListBullet"/>
        <w:keepLines w:val="1"/>
        <w:keepNext w:val="1"/>
        <w:widowControl w:val="1"/>
      </w:pPr>
      <w:r>
        <w:t xml:space="preserve">% de organizaciones que miden formalmente estos indicadores.  </w:t>
      </w:r>
    </w:p>
    <w:p>
      <w:pPr>
        <w:pStyle w:val="ListBullet"/>
        <w:keepLines w:val="1"/>
        <w:widowControl w:val="1"/>
      </w:pPr>
      <w:r>
        <w:t>Resumen de impacto atribuido a SOAR (P18).</w:t>
      </w:r>
    </w:p>
    <w:p>
      <w:pPr>
        <w:pStyle w:val="Heading2"/>
        <w:keepNext/>
        <w:keepLines/>
      </w:pPr>
      <w:r>
        <w:rPr>
          <w:color w:val="0066CC"/>
        </w:rPr>
        <w:t>Diapositiva 10 – Calidad de la automatización</w:t>
      </w:r>
    </w:p>
    <w:p>
      <w:pPr>
        <w:pStyle w:val="ListBullet"/>
        <w:keepLines w:val="1"/>
        <w:keepNext w:val="1"/>
        <w:widowControl w:val="1"/>
      </w:pPr>
      <w:r>
        <w:t xml:space="preserve">Gráficos o tablas sobre tasas de falsos positivos.  </w:t>
      </w:r>
    </w:p>
    <w:p>
      <w:pPr>
        <w:pStyle w:val="ListBullet"/>
        <w:keepLines w:val="1"/>
        <w:keepNext w:val="1"/>
        <w:widowControl w:val="1"/>
      </w:pPr>
      <w:r>
        <w:t xml:space="preserve">Incidentes reabiertos y rollbacks de playbooks.  </w:t>
      </w:r>
    </w:p>
    <w:p>
      <w:pPr>
        <w:pStyle w:val="ListBullet"/>
        <w:keepLines w:val="1"/>
        <w:widowControl w:val="1"/>
      </w:pPr>
      <w:r>
        <w:t>Comentario sobre equilibrio automatización / riesgo.</w:t>
      </w:r>
    </w:p>
    <w:p>
      <w:pPr>
        <w:pStyle w:val="Heading2"/>
        <w:keepNext/>
        <w:keepLines/>
      </w:pPr>
      <w:r>
        <w:rPr>
          <w:color w:val="0066CC"/>
        </w:rPr>
        <w:t>Diapositiva 11 – Regulación y reporting</w:t>
      </w:r>
    </w:p>
    <w:p>
      <w:pPr>
        <w:pStyle w:val="ListBullet"/>
        <w:keepLines w:val="1"/>
        <w:keepNext w:val="1"/>
        <w:widowControl w:val="1"/>
      </w:pPr>
      <w:r>
        <w:t xml:space="preserve">% de organizaciones que usan SOAR para notificación regulatoria.  </w:t>
      </w:r>
    </w:p>
    <w:p>
      <w:pPr>
        <w:pStyle w:val="ListBullet"/>
        <w:keepLines w:val="1"/>
        <w:keepNext w:val="1"/>
        <w:widowControl w:val="1"/>
      </w:pPr>
      <w:r>
        <w:t xml:space="preserve">Rangos de tiempo para notificaciones iniciales.  </w:t>
      </w:r>
    </w:p>
    <w:p>
      <w:pPr>
        <w:pStyle w:val="ListBullet"/>
        <w:keepLines w:val="1"/>
        <w:widowControl w:val="1"/>
      </w:pPr>
      <w:r>
        <w:t>Breve reflexión sobre alineación con NIS2.</w:t>
      </w:r>
    </w:p>
    <w:p>
      <w:pPr>
        <w:pStyle w:val="Heading2"/>
        <w:keepNext/>
        <w:keepLines/>
      </w:pPr>
      <w:r>
        <w:rPr>
          <w:color w:val="0066CC"/>
        </w:rPr>
        <w:t>Diapositiva 12 – Impacto económico y ROI</w:t>
      </w:r>
    </w:p>
    <w:p>
      <w:pPr>
        <w:pStyle w:val="ListBullet"/>
        <w:keepLines w:val="1"/>
        <w:keepNext w:val="1"/>
        <w:widowControl w:val="1"/>
      </w:pPr>
      <w:r>
        <w:t xml:space="preserve">% de organizaciones que estiman coste de incidentes.  </w:t>
      </w:r>
    </w:p>
    <w:p>
      <w:pPr>
        <w:pStyle w:val="ListBullet"/>
        <w:keepLines w:val="1"/>
        <w:keepNext w:val="1"/>
        <w:widowControl w:val="1"/>
      </w:pPr>
      <w:r>
        <w:t xml:space="preserve">% con modelo formal de ROI.  </w:t>
      </w:r>
    </w:p>
    <w:p>
      <w:pPr>
        <w:pStyle w:val="ListBullet"/>
        <w:keepLines w:val="1"/>
        <w:widowControl w:val="1"/>
      </w:pPr>
      <w:r>
        <w:t>Rango de ROI estimado (si se ha calculado).</w:t>
      </w:r>
    </w:p>
    <w:p>
      <w:pPr>
        <w:pStyle w:val="Heading2"/>
        <w:keepNext/>
        <w:keepLines/>
      </w:pPr>
      <w:r>
        <w:rPr>
          <w:color w:val="0066CC"/>
        </w:rPr>
        <w:t>Diapositiva 13 – Barreras y palancas</w:t>
      </w:r>
    </w:p>
    <w:p>
      <w:pPr>
        <w:pStyle w:val="ListBullet"/>
        <w:keepLines w:val="1"/>
        <w:keepNext w:val="1"/>
        <w:widowControl w:val="1"/>
      </w:pPr>
      <w:r>
        <w:t xml:space="preserve">Gráfico de barras con principales barreras de adopción (coste, talento, cultura, etc.).  </w:t>
      </w:r>
    </w:p>
    <w:p>
      <w:pPr>
        <w:pStyle w:val="ListBullet"/>
        <w:keepLines w:val="1"/>
        <w:widowControl w:val="1"/>
      </w:pPr>
      <w:r>
        <w:t>Comentario sobre palancas identificadas (liderazgo, casos de uso, quick wins).</w:t>
      </w:r>
    </w:p>
    <w:p>
      <w:pPr>
        <w:pStyle w:val="Heading2"/>
        <w:keepNext/>
        <w:keepLines/>
      </w:pPr>
      <w:r>
        <w:rPr>
          <w:color w:val="0066CC"/>
        </w:rPr>
        <w:t>Diapositiva 14 – Recomendaciones clave</w:t>
      </w:r>
    </w:p>
    <w:p>
      <w:pPr>
        <w:pStyle w:val="ListBullet"/>
        <w:keepLines w:val="1"/>
        <w:keepNext w:val="1"/>
        <w:widowControl w:val="1"/>
      </w:pPr>
      <w:r>
        <w:t xml:space="preserve">3–5 mensajes accionables para organizaciones.  </w:t>
      </w:r>
    </w:p>
    <w:p>
      <w:pPr>
        <w:pStyle w:val="ListBullet"/>
        <w:keepLines w:val="1"/>
        <w:keepNext w:val="1"/>
        <w:widowControl w:val="1"/>
      </w:pPr>
      <w:r>
        <w:t xml:space="preserve">3–5 mensajes para reguladores / responsables de política pública.  </w:t>
      </w:r>
    </w:p>
    <w:p>
      <w:pPr>
        <w:pStyle w:val="ListBullet"/>
        <w:keepLines w:val="1"/>
        <w:widowControl w:val="1"/>
      </w:pPr>
      <w:r>
        <w:t>Notas sobre uso de los resultados para futuras ediciones.</w:t>
      </w:r>
    </w:p>
    <w:p>
      <w:pPr>
        <w:pStyle w:val="Heading2"/>
        <w:keepNext/>
        <w:keepLines/>
      </w:pPr>
      <w:r>
        <w:rPr>
          <w:color w:val="0066CC"/>
        </w:rPr>
        <w:t>Diapositiva 15 – Casos y anécdotas (opcional)</w:t>
      </w:r>
    </w:p>
    <w:p>
      <w:pPr>
        <w:pStyle w:val="ListBullet"/>
        <w:keepLines w:val="1"/>
        <w:keepNext w:val="1"/>
        <w:widowControl w:val="1"/>
      </w:pPr>
      <w:r>
        <w:t xml:space="preserve">Selección anonimizada de ejemplos ilustrativos extraídos de preguntas abiertas.  </w:t>
      </w:r>
    </w:p>
    <w:p>
      <w:pPr>
        <w:pStyle w:val="ListBullet"/>
        <w:keepLines w:val="1"/>
        <w:widowControl w:val="1"/>
      </w:pPr>
      <w:r>
        <w:t>Historias breves de éxitos y incidentes “aleccionadores”.</w:t>
      </w:r>
    </w:p>
    <w:p>
      <w:pPr>
        <w:pStyle w:val="Heading2"/>
        <w:keepNext/>
        <w:keepLines/>
      </w:pPr>
      <w:r>
        <w:rPr>
          <w:color w:val="0066CC"/>
        </w:rPr>
        <w:t>Diapositiva 16 – Cierre y próximos pasos</w:t>
      </w:r>
    </w:p>
    <w:p>
      <w:pPr>
        <w:pStyle w:val="ListBullet"/>
        <w:keepLines w:val="1"/>
        <w:keepNext w:val="1"/>
        <w:widowControl w:val="1"/>
      </w:pPr>
      <w:r>
        <w:t xml:space="preserve">Propuesta de periodicidad de la encuesta (cada 2–3 años).  </w:t>
      </w:r>
    </w:p>
    <w:p>
      <w:pPr>
        <w:pStyle w:val="ListBullet"/>
        <w:keepLines w:val="1"/>
        <w:keepNext w:val="1"/>
        <w:widowControl w:val="1"/>
      </w:pPr>
      <w:r>
        <w:t xml:space="preserve">Líneas de trabajo derivadas (herramientas, guías, foros).  </w:t>
      </w:r>
    </w:p>
    <w:p>
      <w:pPr>
        <w:pStyle w:val="ListBullet"/>
        <w:keepLines w:val="1"/>
        <w:widowControl w:val="1"/>
      </w:pPr>
      <w:r>
        <w:t>Datos de contacto para profundizar o solicitar informe específico.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