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métricas SOAR</w:t>
      </w:r>
    </w:p>
    <w:p>
      <w:r>
        <w:t xml:space="preserve">Escala utilizada: </w:t>
      </w:r>
      <w:r>
        <w:rPr>
          <w:b/>
        </w:rPr>
        <w:t>A = Alto</w:t>
      </w:r>
      <w:r>
        <w:t xml:space="preserve">, </w:t>
      </w:r>
      <w:r>
        <w:rPr>
          <w:b/>
        </w:rPr>
        <w:t>M = Medio</w:t>
      </w:r>
      <w:r>
        <w:t xml:space="preserve">, </w:t>
      </w:r>
      <w:r>
        <w:rPr>
          <w:b/>
        </w:rPr>
        <w:t>B = Bajo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1. Métricas de tiempo (G1)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M1.1 – MTTD nacional/sectorial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 valor para anticipar riesgo, requiere buena instrumentación de detección.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M1.2 – MTTC/MTTI nacional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Clave para evaluar eficiencia de análisis y contención inicial.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M1.3 – MTTR nacional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Directamente vinculado a resiliencia percibida y operativa.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M1.4 – Dwell time en sectores críticos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Difícil de medir con precisión, pero muy ilustrativo del riesgo real.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M1.5 – % reducción MTTD/MTTR por SOAR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Es la “métrica estrella” para justificar inversiones en automatización.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de cobertura y calidad de automatización (G2)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M2.1 – % alertas tratadas automáticamente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Métrica de adopción clave; se interpreta mejor junto a calidad.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M2.2 – % incidentes con soporte SOAR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Relaciona automatización con casos de negocio reales (incidentes).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M2.3 – Cobertura de casos de uso (Top 10)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Permite priorizar desarrollo de playbooks en incidentes frecuentes.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M2.4 – Tasa de éxito de playbooks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Directamente accionable para mejorar diseño y pruebas de playbooks.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M2.5 – Tasa de excepciones / rollbacks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Señala riesgos de automatización excesiva o mal gobernada.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cumplimiento y reporting (G3)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M3.1 – % org. que usan SOAR para notificación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Indica nivel de industrialización del cumplimiento, más que riesgo técnico.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M3.2 – Tiempo medio hasta notificación inicial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Conecta operación con obligación regulatoria concreta.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M3.3 – % notificaciones dentro del plazo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Métrica clara para supervisores y auditores.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M3.4 – Grado de estructuración de informes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Facilita reutilización y análisis, pero su impacto directo es indirecto.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impacto económico y ROI (G4)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M4.1 – % org. que estiman coste de incidentes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Señal de madurez económica, base para métricas más sofisticadas.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M4.2 – Coste medio anual de incidentes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Soporta decisiones de inversión, pero depende de supuestos.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M4.3 – Inversión anual en SOAR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Necesaria para cálculos de ROI y planificación presupuestaria.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M4.4 – ROI de proyectos SOAR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Métrica políticamente poderosa, pero difícil de estimar con alta precisión.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M4.5 – Correlación IGM–coste/incidentes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Útil para análisis estratégicos, menos para operación diaria.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Métricas de estructura y madurez (apoyo transversal)</w:t>
      </w:r>
    </w:p>
    <w:p>
      <w:r>
        <w:t>Además de las métricas numéricas anteriores, algunas métricas de estructura (existencia de catálogos, hojas de ruta, modelos de SOC) se valoran cualitativamente: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cualitativa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Existencia de catálogo formal de casos de uso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Fuerte indicador de madurez organizativa de SOC/SOAR.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Existencia de hoja de ruta SOAR aprobada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Conecta visión estratégica con ejecución, muy apreciada en auditorías.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Modelo de SOC (interno/externo/híbrido) definido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Base para interpretar otras métricas y planificar capacidades.</w:t>
            </w:r>
          </w:p>
        </w:tc>
      </w:tr>
    </w:tbl>
    <w:p/>
    <w:p>
      <w:r>
        <w:t>La matriz puede ser refinada con puntuaciones numéricas (por ejemplo, A=3, M=2, B=1) para construir un “score PRAGMATIC” por métrica y ayudar a priorizar las que deben ocupar un lugar central en el cuadro nacional de mando.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