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– IGM y ROI integrados con GQM + PRAGMATIC</w:t>
      </w:r>
    </w:p>
    <w:p>
      <w:r>
        <w:t>Esta plantilla amplía la propuesta de cálculo de IGM y ROI incorporando explícitamente los objetivos GQM (G1–G4) y las calificaciones PRAGMATIC de las métricas.[web:26][web:22]</w:t>
      </w:r>
    </w:p>
    <w:p>
      <w:pPr>
        <w:pStyle w:val="Heading2"/>
        <w:keepNext/>
        <w:keepLines/>
      </w:pPr>
      <w:r>
        <w:rPr>
          <w:color w:val="0066CC"/>
        </w:rPr>
        <w:t>1. Estructura de hojas</w:t>
      </w:r>
    </w:p>
    <w:p>
      <w:pPr>
        <w:pStyle w:val="ListNumber"/>
        <w:keepLines w:val="1"/>
        <w:keepNext w:val="1"/>
        <w:widowControl w:val="1"/>
      </w:pPr>
      <w:r>
        <w:t>DATOS_ENCUESTA – Respuestas de la encuesta por organización.</w:t>
      </w:r>
    </w:p>
    <w:p>
      <w:pPr>
        <w:pStyle w:val="ListNumber"/>
        <w:keepLines w:val="1"/>
        <w:keepNext w:val="1"/>
        <w:widowControl w:val="1"/>
      </w:pPr>
      <w:r>
        <w:t>CALCULOS_GQM – Cálculo de métricas M1.x–M4.x por organización y eje.</w:t>
      </w:r>
    </w:p>
    <w:p>
      <w:pPr>
        <w:pStyle w:val="ListNumber"/>
        <w:keepLines w:val="1"/>
        <w:keepNext w:val="1"/>
        <w:widowControl w:val="1"/>
      </w:pPr>
      <w:r>
        <w:t>PRAGMATIC_SCORES – Ponderaciones PRAGMATIC por métrica.</w:t>
      </w:r>
    </w:p>
    <w:p>
      <w:pPr>
        <w:pStyle w:val="ListNumber"/>
        <w:keepLines w:val="1"/>
        <w:keepNext w:val="1"/>
        <w:widowControl w:val="1"/>
      </w:pPr>
      <w:r>
        <w:t>IGM_Y_ROI – Cálculo de IGM por eje y global, ROI y scores ajustados PRAGMATIC.</w:t>
      </w:r>
    </w:p>
    <w:p>
      <w:pPr>
        <w:pStyle w:val="ListNumber"/>
        <w:keepLines w:val="1"/>
        <w:widowControl w:val="1"/>
      </w:pPr>
      <w:r>
        <w:t>RESUMEN_NACIONAL – Agregados por sector, tamaño y naturaleza.</w:t>
      </w:r>
    </w:p>
    <w:p>
      <w:pPr>
        <w:pStyle w:val="Heading2"/>
        <w:keepNext/>
        <w:keepLines/>
      </w:pPr>
      <w:r>
        <w:rPr>
          <w:color w:val="0066CC"/>
        </w:rPr>
        <w:t>2. Hoja DATOS_ENCUESTA</w:t>
      </w:r>
    </w:p>
    <w:p>
      <w:r>
        <w:t>Igual que en la versión básica: filas = organizaciones, columnas = respuestas codificadas (P5–P40), más identificadores de sector, tamaño, etc.[web:12]</w:t>
      </w:r>
    </w:p>
    <w:p>
      <w:pPr>
        <w:pStyle w:val="Heading2"/>
        <w:keepNext/>
        <w:keepLines/>
      </w:pPr>
      <w:r>
        <w:rPr>
          <w:color w:val="0066CC"/>
        </w:rPr>
        <w:t>3. Hoja CALCULOS_GQM</w:t>
      </w:r>
    </w:p>
    <w:p>
      <w:pPr>
        <w:pStyle w:val="Heading3"/>
        <w:keepNext/>
        <w:keepLines/>
      </w:pPr>
      <w:r>
        <w:t>3.1. Cálculo de métricas de tiempo (G1)</w:t>
      </w:r>
    </w:p>
    <w:p>
      <w:pPr>
        <w:pStyle w:val="ListBullet"/>
        <w:keepLines w:val="1"/>
        <w:keepNext w:val="1"/>
        <w:widowControl w:val="1"/>
      </w:pPr>
      <w:r>
        <w:t>Columnas ejemplo:</w:t>
      </w:r>
    </w:p>
    <w:p>
      <w:pPr>
        <w:pStyle w:val="ListBullet"/>
        <w:keepLines w:val="1"/>
        <w:keepNext w:val="1"/>
        <w:widowControl w:val="1"/>
      </w:pPr>
      <w:r>
        <w:t>MTTD_critico (a partir de P15). Asignar valor medio del rango.</w:t>
      </w:r>
    </w:p>
    <w:p>
      <w:pPr>
        <w:pStyle w:val="ListBullet"/>
        <w:keepLines w:val="1"/>
        <w:keepNext w:val="1"/>
        <w:widowControl w:val="1"/>
      </w:pPr>
      <w:r>
        <w:t>MTTC_critico (P16). Idem.</w:t>
      </w:r>
    </w:p>
    <w:p>
      <w:pPr>
        <w:pStyle w:val="ListBullet"/>
        <w:keepLines w:val="1"/>
        <w:keepNext w:val="1"/>
        <w:widowControl w:val="1"/>
      </w:pPr>
      <w:r>
        <w:t>MTTR_critico (P17). Idem.</w:t>
      </w:r>
    </w:p>
    <w:p>
      <w:pPr>
        <w:pStyle w:val="ListBullet"/>
        <w:keepLines w:val="1"/>
        <w:widowControl w:val="1"/>
      </w:pPr>
      <w:r>
        <w:t>Impacto_SOAR_Tiempos (P18) convertido a factor de mejora.</w:t>
      </w:r>
    </w:p>
    <w:p>
      <w:r>
        <w:t>A partir de estas, puede derivarse:</w:t>
      </w:r>
    </w:p>
    <w:p>
      <w:pPr>
        <w:pStyle w:val="ListBullet"/>
        <w:keepLines w:val="1"/>
        <w:keepNext w:val="1"/>
        <w:widowControl w:val="1"/>
      </w:pPr>
      <w:r>
        <w:t>M1.1 = MTTD_critico (en minutos u horas).</w:t>
      </w:r>
    </w:p>
    <w:p>
      <w:pPr>
        <w:pStyle w:val="ListBullet"/>
        <w:keepLines w:val="1"/>
        <w:keepNext w:val="1"/>
        <w:widowControl w:val="1"/>
      </w:pPr>
      <w:r>
        <w:t>M1.2 = MTTC_critico.</w:t>
      </w:r>
    </w:p>
    <w:p>
      <w:pPr>
        <w:pStyle w:val="ListBullet"/>
        <w:keepLines w:val="1"/>
        <w:keepNext w:val="1"/>
        <w:widowControl w:val="1"/>
      </w:pPr>
      <w:r>
        <w:t>M1.3 = MTTR_critico.</w:t>
      </w:r>
    </w:p>
    <w:p>
      <w:pPr>
        <w:pStyle w:val="ListBullet"/>
        <w:keepLines w:val="1"/>
        <w:widowControl w:val="1"/>
      </w:pPr>
      <w:r>
        <w:t>M1.5 = Impacto_SOAR_Tiempos (porcentaje).[web:24]</w:t>
      </w:r>
    </w:p>
    <w:p>
      <w:pPr>
        <w:pStyle w:val="Heading3"/>
        <w:keepNext/>
        <w:keepLines/>
      </w:pPr>
      <w:r>
        <w:t>3.2. Métricas de cobertura y calidad (G2)</w:t>
      </w:r>
    </w:p>
    <w:p>
      <w:pPr>
        <w:pStyle w:val="ListBullet"/>
        <w:keepLines w:val="1"/>
        <w:keepNext w:val="1"/>
        <w:widowControl w:val="1"/>
      </w:pPr>
      <w:r>
        <w:t>Cobertura_Alertas_Autom (de P10). Convertir rango a %.</w:t>
      </w:r>
    </w:p>
    <w:p>
      <w:pPr>
        <w:pStyle w:val="ListBullet"/>
        <w:keepLines w:val="1"/>
        <w:keepNext w:val="1"/>
        <w:widowControl w:val="1"/>
      </w:pPr>
      <w:r>
        <w:t>Casos_Uso_Autom (de P11–12, P26). Número o %.</w:t>
      </w:r>
    </w:p>
    <w:p>
      <w:pPr>
        <w:pStyle w:val="ListBullet"/>
        <w:keepLines w:val="1"/>
        <w:widowControl w:val="1"/>
      </w:pPr>
      <w:r>
        <w:t>Tasa_Exito_Playbooks (si se añade módulo complementario o se infiere de P22–23).</w:t>
      </w:r>
    </w:p>
    <w:p>
      <w:r>
        <w:t>Estas alimentan las columnas:</w:t>
      </w:r>
    </w:p>
    <w:p>
      <w:pPr>
        <w:pStyle w:val="ListBullet"/>
        <w:keepLines w:val="1"/>
        <w:widowControl w:val="1"/>
      </w:pPr>
      <w:r>
        <w:t>M2.1, M2.2, M2.3, M2.5.</w:t>
      </w:r>
    </w:p>
    <w:p>
      <w:pPr>
        <w:pStyle w:val="Heading3"/>
        <w:keepNext/>
        <w:keepLines/>
      </w:pPr>
      <w:r>
        <w:t>3.3. Métricas de cumplimiento y reporting (G3)</w:t>
      </w:r>
    </w:p>
    <w:p>
      <w:pPr>
        <w:pStyle w:val="ListBullet"/>
        <w:keepLines w:val="1"/>
        <w:keepNext w:val="1"/>
        <w:widowControl w:val="1"/>
      </w:pPr>
      <w:r>
        <w:t>Uso_SOAR_Notificacion (P30). Codificar 0–1.</w:t>
      </w:r>
    </w:p>
    <w:p>
      <w:pPr>
        <w:pStyle w:val="ListBullet"/>
        <w:keepLines w:val="1"/>
        <w:keepNext w:val="1"/>
        <w:widowControl w:val="1"/>
      </w:pPr>
      <w:r>
        <w:t>Tiempo_Notificacion (P31). Asignar valor medio de rango.</w:t>
      </w:r>
    </w:p>
    <w:p>
      <w:pPr>
        <w:pStyle w:val="ListBullet"/>
        <w:keepLines w:val="1"/>
        <w:widowControl w:val="1"/>
      </w:pPr>
      <w:r>
        <w:t>%_Notificaciones_Plazo (si se añade módulo de detalle o a través de auditorías; puede estimarse inicialmente cualitativamente).[web:39]</w:t>
      </w:r>
    </w:p>
    <w:p>
      <w:pPr>
        <w:pStyle w:val="Heading3"/>
        <w:keepNext/>
        <w:keepLines/>
      </w:pPr>
      <w:r>
        <w:t>3.4. Métricas económicas (G4)</w:t>
      </w:r>
    </w:p>
    <w:p>
      <w:pPr>
        <w:pStyle w:val="ListBullet"/>
        <w:keepLines w:val="1"/>
        <w:keepNext w:val="1"/>
        <w:widowControl w:val="1"/>
      </w:pPr>
      <w:r>
        <w:t>Estima_Coste_Incidentes (P33) → indicador binario.</w:t>
      </w:r>
    </w:p>
    <w:p>
      <w:pPr>
        <w:pStyle w:val="ListBullet"/>
        <w:keepLines w:val="1"/>
        <w:keepNext w:val="1"/>
        <w:widowControl w:val="1"/>
      </w:pPr>
      <w:r>
        <w:t>Modelo_ROI_Formal (P35) → indicador binario.</w:t>
      </w:r>
    </w:p>
    <w:p>
      <w:pPr>
        <w:pStyle w:val="ListBullet"/>
        <w:keepLines w:val="1"/>
        <w:widowControl w:val="1"/>
      </w:pPr>
      <w:r>
        <w:t>Percepcion_Valor_SOAR (P36) → escala 1–4.</w:t>
      </w:r>
    </w:p>
    <w:p>
      <w:r>
        <w:t>Si se dispone de datos numéricos de coste e inversión:</w:t>
      </w:r>
    </w:p>
    <w:p>
      <w:pPr>
        <w:pStyle w:val="ListBullet"/>
        <w:keepLines w:val="1"/>
        <w:widowControl w:val="1"/>
      </w:pPr>
      <w:r>
        <w:t>Coste_Pre / Coste_Post / Inversion_SOAR → para compilar M4.2–M4.4.[web:26]</w:t>
      </w:r>
    </w:p>
    <w:p>
      <w:pPr>
        <w:pStyle w:val="Heading2"/>
        <w:keepNext/>
        <w:keepLines/>
      </w:pPr>
      <w:r>
        <w:rPr>
          <w:color w:val="0066CC"/>
        </w:rPr>
        <w:t>4. Hoja PRAGMATIC_SCORES</w:t>
      </w:r>
    </w:p>
    <w:p>
      <w:r>
        <w:t>Crear una tabla con filas = métricas (M1.1, M1.2, ..., M4.5) y columnas = criterios PRAGMATIC.</w:t>
      </w:r>
    </w:p>
    <w:p>
      <w:pPr>
        <w:pStyle w:val="ListBullet"/>
        <w:keepLines w:val="1"/>
        <w:keepNext w:val="1"/>
        <w:widowControl w:val="1"/>
      </w:pPr>
      <w:r>
        <w:t>Asignar valores numéricos (A=3, M=2, B=1) según la matriz de evaluación.[code_file:52]</w:t>
      </w:r>
    </w:p>
    <w:p>
      <w:pPr>
        <w:pStyle w:val="ListBullet"/>
        <w:keepLines w:val="1"/>
        <w:widowControl w:val="1"/>
      </w:pPr>
      <w:r>
        <w:t>Calcular Score_PRAGMATIC por métrica = PROMEDIO(Predictivo:Rentable).</w:t>
      </w:r>
    </w:p>
    <w:p>
      <w:r>
        <w:t>Opcionalmente, normalizar a 0–1 o 0–100.</w:t>
      </w:r>
    </w:p>
    <w:p>
      <w:pPr>
        <w:pStyle w:val="Heading2"/>
        <w:keepNext/>
        <w:keepLines/>
      </w:pPr>
      <w:r>
        <w:rPr>
          <w:color w:val="0066CC"/>
        </w:rPr>
        <w:t>5. Hoja IGM_Y_ROI</w:t>
      </w:r>
    </w:p>
    <w:p>
      <w:pPr>
        <w:pStyle w:val="Heading3"/>
        <w:keepNext/>
        <w:keepLines/>
      </w:pPr>
      <w:r>
        <w:t>5.1. Ejes de madurez (IGM) alineados con objetivos G1–G4</w:t>
      </w:r>
    </w:p>
    <w:p>
      <w:r>
        <w:t>Para cada organización:</w:t>
      </w:r>
    </w:p>
    <w:p>
      <w:pPr>
        <w:pStyle w:val="ListBullet"/>
        <w:keepLines w:val="1"/>
        <w:keepNext w:val="1"/>
        <w:widowControl w:val="1"/>
      </w:pPr>
      <w:r>
        <w:t>IGM_G1_Tiempos basado en M1.x (normalizado 0–100, invirtiendo valores donde menos es mejor).</w:t>
      </w:r>
    </w:p>
    <w:p>
      <w:pPr>
        <w:pStyle w:val="ListBullet"/>
        <w:keepLines w:val="1"/>
        <w:keepNext w:val="1"/>
        <w:widowControl w:val="1"/>
      </w:pPr>
      <w:r>
        <w:t>IGM_G2_Automatizacion basado en M2.x (0–100).</w:t>
      </w:r>
    </w:p>
    <w:p>
      <w:pPr>
        <w:pStyle w:val="ListBullet"/>
        <w:keepLines w:val="1"/>
        <w:keepNext w:val="1"/>
        <w:widowControl w:val="1"/>
      </w:pPr>
      <w:r>
        <w:t>IGM_G3_Cumplimiento basado en M3.x (0–100).</w:t>
      </w:r>
    </w:p>
    <w:p>
      <w:pPr>
        <w:pStyle w:val="ListBullet"/>
        <w:keepLines w:val="1"/>
        <w:widowControl w:val="1"/>
      </w:pPr>
      <w:r>
        <w:t>IGM_G4_Impacto basado en M4.x (0–100).</w:t>
      </w:r>
    </w:p>
    <w:p>
      <w:r>
        <w:t xml:space="preserve">El </w:t>
      </w:r>
      <w:r>
        <w:rPr>
          <w:b/>
        </w:rPr>
        <w:t>IGM global</w:t>
      </w:r>
      <w:r>
        <w:t xml:space="preserve"> puede ser:</w:t>
      </w:r>
    </w:p>
    <w:p>
      <w:pPr>
        <w:pStyle w:val="ListBullet"/>
        <w:keepLines w:val="1"/>
        <w:widowControl w:val="1"/>
      </w:pPr>
      <w:r>
        <w:t>IGM_Global = PROMEDIO(IGM_G1:IGM_G4) o una combinación ponderada.</w:t>
      </w:r>
    </w:p>
    <w:p>
      <w:pPr>
        <w:pStyle w:val="Heading3"/>
        <w:keepNext/>
        <w:keepLines/>
      </w:pPr>
      <w:r>
        <w:t>5.2. Ajuste PRAGMATIC</w:t>
      </w:r>
    </w:p>
    <w:p>
      <w:r>
        <w:t>Para reflejar la calidad de las métricas subyacentes:</w:t>
      </w:r>
    </w:p>
    <w:p>
      <w:pPr>
        <w:pStyle w:val="ListBullet"/>
        <w:keepLines w:val="1"/>
        <w:keepNext w:val="1"/>
        <w:widowControl w:val="1"/>
      </w:pPr>
      <w:r>
        <w:t>Definir pesos por métrica = Score_PRAGMATIC_normalizado.</w:t>
      </w:r>
    </w:p>
    <w:p>
      <w:pPr>
        <w:pStyle w:val="ListBullet"/>
        <w:keepLines w:val="1"/>
        <w:widowControl w:val="1"/>
      </w:pPr>
      <w:r>
        <w:t>Calcular, por ejemplo, IGM_G1_ajustado como media ponderada de M1.x con sus pesos PRAGMATIC.</w:t>
      </w:r>
    </w:p>
    <w:p>
      <w:r>
        <w:t>Esto permite que métricas muy débiles en términos PRAGMATIC tengan menor influencia en el indicador compuesto.</w:t>
      </w:r>
    </w:p>
    <w:p>
      <w:pPr>
        <w:pStyle w:val="Heading3"/>
        <w:keepNext/>
        <w:keepLines/>
      </w:pPr>
      <w:r>
        <w:t>5.3. ROI integrado</w:t>
      </w:r>
    </w:p>
    <w:p>
      <w:r>
        <w:t>Mantener el cálculo de ROI ya propuesto, pero permitir análisis adicionales:</w:t>
      </w:r>
    </w:p>
    <w:p>
      <w:pPr>
        <w:pStyle w:val="ListBullet"/>
        <w:keepLines w:val="1"/>
        <w:keepNext w:val="1"/>
        <w:widowControl w:val="1"/>
      </w:pPr>
      <w:r>
        <w:t>ROI_vs_IGM → correlación entre ROI_SOAR y IGM_G2/IGM_Global.</w:t>
      </w:r>
    </w:p>
    <w:p>
      <w:pPr>
        <w:pStyle w:val="ListBullet"/>
        <w:keepLines w:val="1"/>
        <w:widowControl w:val="1"/>
      </w:pPr>
      <w:r>
        <w:t>ROI_ajustado → análisis de sensibilidad considerando solo métricas con alta calidad PRAGMATIC.</w:t>
      </w:r>
    </w:p>
    <w:p>
      <w:pPr>
        <w:pStyle w:val="Heading2"/>
        <w:keepNext/>
        <w:keepLines/>
      </w:pPr>
      <w:r>
        <w:rPr>
          <w:color w:val="0066CC"/>
        </w:rPr>
        <w:t>6. Hoja RESUMEN_NACIONAL</w:t>
      </w:r>
    </w:p>
    <w:p>
      <w:pPr>
        <w:pStyle w:val="ListBullet"/>
        <w:keepLines w:val="1"/>
        <w:keepNext w:val="1"/>
        <w:widowControl w:val="1"/>
      </w:pPr>
      <w:r>
        <w:t>Distribuciones de IGM por sector, tamaño, naturaleza.</w:t>
      </w:r>
    </w:p>
    <w:p>
      <w:pPr>
        <w:pStyle w:val="ListBullet"/>
        <w:keepLines w:val="1"/>
        <w:keepNext w:val="1"/>
        <w:widowControl w:val="1"/>
      </w:pPr>
      <w:r>
        <w:t>Tablas de medias y medianas de M1.x–M4.x.</w:t>
      </w:r>
    </w:p>
    <w:p>
      <w:pPr>
        <w:pStyle w:val="ListBullet"/>
        <w:keepLines w:val="1"/>
        <w:widowControl w:val="1"/>
      </w:pPr>
      <w:r>
        <w:t>Indicadores clave: % org. que miden tiempos, que usan SOAR para notificación, que calculan ROI, etc.[web:12][web:39]</w:t>
      </w:r>
    </w:p>
    <w:p>
      <w:r>
        <w:t>Esta estructura integra GQM en la forma de organizar los cálculos (por objetivos y métricas asociadas) y PRAGMATIC en la forma de ponderar y priorizar la importancia de cada métrica en los indicadores compuestos.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