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GQM + PRAGMATIC aplicado a la encuesta SOAR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Indicadores SOAR Nacionales – Marco GQM + PRAGMATIC</w:t>
      </w:r>
    </w:p>
    <w:p>
      <w:pPr>
        <w:pStyle w:val="ListBullet"/>
        <w:keepLines w:val="1"/>
        <w:keepNext w:val="1"/>
        <w:widowControl w:val="1"/>
      </w:pPr>
      <w:r>
        <w:t>Subtítulo: Resultados y propuestas a partir de la Encuesta SOAR España.</w:t>
      </w:r>
    </w:p>
    <w:p>
      <w:pPr>
        <w:pStyle w:val="ListBullet"/>
        <w:keepLines w:val="1"/>
        <w:widowControl w:val="1"/>
      </w:pPr>
      <w:r>
        <w:t>Entidades promotoras y fecha.</w:t>
      </w:r>
    </w:p>
    <w:p>
      <w:pPr>
        <w:pStyle w:val="Heading2"/>
        <w:keepNext/>
        <w:keepLines/>
      </w:pPr>
      <w:r>
        <w:rPr>
          <w:color w:val="0066CC"/>
        </w:rPr>
        <w:t>Diapositiva 2 – Por qué otro marco de indicadores</w:t>
      </w:r>
    </w:p>
    <w:p>
      <w:pPr>
        <w:pStyle w:val="ListBullet"/>
        <w:keepLines w:val="1"/>
        <w:keepNext w:val="1"/>
        <w:widowControl w:val="1"/>
      </w:pPr>
      <w:r>
        <w:t>Breve recordatorio: crecimiento de incidentes, presión regulatoria (NIS2, ENS), promesas de automatización.[web:12][web:39]</w:t>
      </w:r>
    </w:p>
    <w:p>
      <w:pPr>
        <w:pStyle w:val="ListBullet"/>
        <w:keepLines w:val="1"/>
        <w:keepNext w:val="1"/>
        <w:widowControl w:val="1"/>
      </w:pPr>
      <w:r>
        <w:t>Problema: abundancia de métricas, escasez de métricas útiles.</w:t>
      </w:r>
    </w:p>
    <w:p>
      <w:pPr>
        <w:pStyle w:val="ListBullet"/>
        <w:keepLines w:val="1"/>
        <w:widowControl w:val="1"/>
      </w:pPr>
      <w:r>
        <w:t>Propuesta: combinar GQM y PRAGMATIC para seleccionar y gobernar indicadores.</w:t>
      </w:r>
    </w:p>
    <w:p>
      <w:pPr>
        <w:pStyle w:val="Heading2"/>
        <w:keepNext/>
        <w:keepLines/>
      </w:pPr>
      <w:r>
        <w:rPr>
          <w:color w:val="0066CC"/>
        </w:rPr>
        <w:t>Diapositiva 3 – GQM en una diapositiva</w:t>
      </w:r>
    </w:p>
    <w:p>
      <w:pPr>
        <w:pStyle w:val="ListBullet"/>
        <w:keepLines w:val="1"/>
        <w:keepNext w:val="1"/>
        <w:widowControl w:val="1"/>
      </w:pPr>
      <w:r>
        <w:t>Explicar Goal–Question–Metric con un ejemplo sencillo (MTTD nacional).</w:t>
      </w:r>
    </w:p>
    <w:p>
      <w:pPr>
        <w:pStyle w:val="ListBullet"/>
        <w:keepLines w:val="1"/>
        <w:widowControl w:val="1"/>
      </w:pPr>
      <w:r>
        <w:t>Destacar trazabilidad: Objetivo país → Preguntas relevantes → Métricas concretas.[web:24]</w:t>
      </w:r>
    </w:p>
    <w:p>
      <w:pPr>
        <w:pStyle w:val="Heading2"/>
        <w:keepNext/>
        <w:keepLines/>
      </w:pPr>
      <w:r>
        <w:rPr>
          <w:color w:val="0066CC"/>
        </w:rPr>
        <w:t>Diapositiva 4 – PRAGMATIC en una diapositiva</w:t>
      </w:r>
    </w:p>
    <w:p>
      <w:pPr>
        <w:pStyle w:val="ListBullet"/>
        <w:keepLines w:val="1"/>
        <w:keepNext w:val="1"/>
        <w:widowControl w:val="1"/>
      </w:pPr>
      <w:r>
        <w:t>Listar los nueve criterios: Predictivo, Relevante, Accionable, Genuino, Significativo, Preciso, Oportuno, Independiente, Rentable.</w:t>
      </w:r>
    </w:p>
    <w:p>
      <w:pPr>
        <w:pStyle w:val="ListBullet"/>
        <w:keepLines w:val="1"/>
        <w:widowControl w:val="1"/>
      </w:pPr>
      <w:r>
        <w:t>Mostrar la escala A/M/B y el concepto de score PRAGMATIC.</w:t>
      </w:r>
    </w:p>
    <w:p>
      <w:pPr>
        <w:pStyle w:val="Heading2"/>
        <w:keepNext/>
        <w:keepLines/>
      </w:pPr>
      <w:r>
        <w:rPr>
          <w:color w:val="0066CC"/>
        </w:rPr>
        <w:t>Diapositiva 5 – Objetivos G1–G4</w:t>
      </w:r>
    </w:p>
    <w:p>
      <w:pPr>
        <w:pStyle w:val="ListBullet"/>
        <w:keepLines w:val="1"/>
        <w:keepNext w:val="1"/>
        <w:widowControl w:val="1"/>
      </w:pPr>
      <w:r>
        <w:t>Tabla o esquema con G1 (tiempos), G2 (automatización), G3 (cumplimiento), G4 (impacto económico).</w:t>
      </w:r>
    </w:p>
    <w:p>
      <w:pPr>
        <w:pStyle w:val="ListBullet"/>
        <w:keepLines w:val="1"/>
        <w:widowControl w:val="1"/>
      </w:pPr>
      <w:r>
        <w:t>Nota: alineación con NIS2, ENS, ENISA y NIST.[web:39][web:22][web:24]</w:t>
      </w:r>
    </w:p>
    <w:p>
      <w:pPr>
        <w:pStyle w:val="Heading2"/>
        <w:keepNext/>
        <w:keepLines/>
      </w:pPr>
      <w:r>
        <w:rPr>
          <w:color w:val="0066CC"/>
        </w:rPr>
        <w:t>Diapositiva 6 – Principales métricas por objetivo</w:t>
      </w:r>
    </w:p>
    <w:p>
      <w:pPr>
        <w:pStyle w:val="ListBullet"/>
        <w:keepLines w:val="1"/>
        <w:keepNext w:val="1"/>
        <w:widowControl w:val="1"/>
      </w:pPr>
      <w:r>
        <w:t>Resumen visual de las métricas seleccionadas para G1–G4.</w:t>
      </w:r>
    </w:p>
    <w:p>
      <w:pPr>
        <w:pStyle w:val="ListBullet"/>
        <w:keepLines w:val="1"/>
        <w:widowControl w:val="1"/>
      </w:pPr>
      <w:r>
        <w:t>P.ej. matriz 4x3 con las “métricas estrella” (MTTD, % automatización, tiempo a notificación, ROI SOAR).</w:t>
      </w:r>
    </w:p>
    <w:p>
      <w:pPr>
        <w:pStyle w:val="Heading2"/>
        <w:keepNext/>
        <w:keepLines/>
      </w:pPr>
      <w:r>
        <w:rPr>
          <w:color w:val="0066CC"/>
        </w:rPr>
        <w:t>Diapositiva 7 – Calidad PRAGMATIC de las métricas de tiempo</w:t>
      </w:r>
    </w:p>
    <w:p>
      <w:pPr>
        <w:pStyle w:val="ListBullet"/>
        <w:keepLines w:val="1"/>
        <w:keepNext w:val="1"/>
        <w:widowControl w:val="1"/>
      </w:pPr>
      <w:r>
        <w:t>Gráfico radar o tabla simplificada mostrando la calificación PRAGMATIC de M1.1–M1.5.</w:t>
      </w:r>
    </w:p>
    <w:p>
      <w:pPr>
        <w:pStyle w:val="ListBullet"/>
        <w:keepLines w:val="1"/>
        <w:widowControl w:val="1"/>
      </w:pPr>
      <w:r>
        <w:t>Comentario: fuertes en relevancia y acción, limitaciones en precisión/oportunidad.</w:t>
      </w:r>
    </w:p>
    <w:p>
      <w:pPr>
        <w:pStyle w:val="Heading2"/>
        <w:keepNext/>
        <w:keepLines/>
      </w:pPr>
      <w:r>
        <w:rPr>
          <w:color w:val="0066CC"/>
        </w:rPr>
        <w:t>Diapositiva 8 – Calidad PRAGMATIC de métricas de automatización</w:t>
      </w:r>
    </w:p>
    <w:p>
      <w:pPr>
        <w:pStyle w:val="ListBullet"/>
        <w:keepLines w:val="1"/>
        <w:keepNext w:val="1"/>
        <w:widowControl w:val="1"/>
      </w:pPr>
      <w:r>
        <w:t>Gráfico similar para M2.1–M2.5.</w:t>
      </w:r>
    </w:p>
    <w:p>
      <w:pPr>
        <w:pStyle w:val="ListBullet"/>
        <w:keepLines w:val="1"/>
        <w:widowControl w:val="1"/>
      </w:pPr>
      <w:r>
        <w:t>Resaltar que tasa de éxito de playbooks y rollbacks son especialmente accionables.</w:t>
      </w:r>
    </w:p>
    <w:p>
      <w:pPr>
        <w:pStyle w:val="Heading2"/>
        <w:keepNext/>
        <w:keepLines/>
      </w:pPr>
      <w:r>
        <w:rPr>
          <w:color w:val="0066CC"/>
        </w:rPr>
        <w:t>Diapositiva 9 – Calidad PRAGMATIC de métricas de cumplimiento</w:t>
      </w:r>
    </w:p>
    <w:p>
      <w:pPr>
        <w:pStyle w:val="ListBullet"/>
        <w:keepLines w:val="1"/>
        <w:keepNext w:val="1"/>
        <w:widowControl w:val="1"/>
      </w:pPr>
      <w:r>
        <w:t>Mostrar M3.1–M3.4.</w:t>
      </w:r>
    </w:p>
    <w:p>
      <w:pPr>
        <w:pStyle w:val="ListBullet"/>
        <w:keepLines w:val="1"/>
        <w:widowControl w:val="1"/>
      </w:pPr>
      <w:r>
        <w:t>Subrayar su atractivo para reguladores y auditores, aunque predigan poco sobre riesgo técnico.</w:t>
      </w:r>
    </w:p>
    <w:p>
      <w:pPr>
        <w:pStyle w:val="Heading2"/>
        <w:keepNext/>
        <w:keepLines/>
      </w:pPr>
      <w:r>
        <w:rPr>
          <w:color w:val="0066CC"/>
        </w:rPr>
        <w:t>Diapositiva 10 – Calidad PRAGMATIC de métricas económicas</w:t>
      </w:r>
    </w:p>
    <w:p>
      <w:pPr>
        <w:pStyle w:val="ListBullet"/>
        <w:keepLines w:val="1"/>
        <w:keepNext w:val="1"/>
        <w:widowControl w:val="1"/>
      </w:pPr>
      <w:r>
        <w:t>Mostrar M4.1–M4.5.</w:t>
      </w:r>
    </w:p>
    <w:p>
      <w:pPr>
        <w:pStyle w:val="ListBullet"/>
        <w:keepLines w:val="1"/>
        <w:widowControl w:val="1"/>
      </w:pPr>
      <w:r>
        <w:t>Destacar la importancia del ROI y la dificultad práctica de estimarlo bien.</w:t>
      </w:r>
    </w:p>
    <w:p>
      <w:pPr>
        <w:pStyle w:val="Heading2"/>
        <w:keepNext/>
        <w:keepLines/>
      </w:pPr>
      <w:r>
        <w:rPr>
          <w:color w:val="0066CC"/>
        </w:rPr>
        <w:t>Diapositiva 11 – IGM por objetivos G1–G4</w:t>
      </w:r>
    </w:p>
    <w:p>
      <w:pPr>
        <w:pStyle w:val="ListBullet"/>
        <w:keepLines w:val="1"/>
        <w:keepNext w:val="1"/>
        <w:widowControl w:val="1"/>
      </w:pPr>
      <w:r>
        <w:t>Gráficos de barras con IGM_G1, IGM_G2, IGM_G3, IGM_G4 por sector.</w:t>
      </w:r>
    </w:p>
    <w:p>
      <w:pPr>
        <w:pStyle w:val="ListBullet"/>
        <w:keepLines w:val="1"/>
        <w:widowControl w:val="1"/>
      </w:pPr>
      <w:r>
        <w:t>Identificar ejes más débiles y más fuertes en la muestra.</w:t>
      </w:r>
    </w:p>
    <w:p>
      <w:pPr>
        <w:pStyle w:val="Heading2"/>
        <w:keepNext/>
        <w:keepLines/>
      </w:pPr>
      <w:r>
        <w:rPr>
          <w:color w:val="0066CC"/>
        </w:rPr>
        <w:t>Diapositiva 12 – Efecto de ajustar por PRAGMATIC</w:t>
      </w:r>
    </w:p>
    <w:p>
      <w:pPr>
        <w:pStyle w:val="ListBullet"/>
        <w:keepLines w:val="1"/>
        <w:keepNext w:val="1"/>
        <w:widowControl w:val="1"/>
      </w:pPr>
      <w:r>
        <w:t>Comparar IGM calculado con y sin ajuste PRAGMATIC.</w:t>
      </w:r>
    </w:p>
    <w:p>
      <w:pPr>
        <w:pStyle w:val="ListBullet"/>
        <w:keepLines w:val="1"/>
        <w:widowControl w:val="1"/>
      </w:pPr>
      <w:r>
        <w:t>Explicar cómo el ajuste reduce la influencia de métricas débiles o poco fiables.</w:t>
      </w:r>
    </w:p>
    <w:p>
      <w:pPr>
        <w:pStyle w:val="Heading2"/>
        <w:keepNext/>
        <w:keepLines/>
      </w:pPr>
      <w:r>
        <w:rPr>
          <w:color w:val="0066CC"/>
        </w:rPr>
        <w:t>Diapositiva 13 – Mensajes clave para organizaciones</w:t>
      </w:r>
    </w:p>
    <w:p>
      <w:pPr>
        <w:pStyle w:val="ListBullet"/>
        <w:keepLines w:val="1"/>
        <w:keepNext w:val="1"/>
        <w:widowControl w:val="1"/>
      </w:pPr>
      <w:r>
        <w:t>Lista breve (3–5 puntos):</w:t>
      </w:r>
    </w:p>
    <w:p>
      <w:pPr>
        <w:pStyle w:val="ListBullet"/>
        <w:keepLines w:val="1"/>
        <w:keepNext w:val="1"/>
        <w:widowControl w:val="1"/>
      </w:pPr>
      <w:r>
        <w:t>Priorizar métricas con alto score PRAGMATIC.</w:t>
      </w:r>
    </w:p>
    <w:p>
      <w:pPr>
        <w:pStyle w:val="ListBullet"/>
        <w:keepLines w:val="1"/>
        <w:keepNext w:val="1"/>
        <w:widowControl w:val="1"/>
      </w:pPr>
      <w:r>
        <w:t>Asegurar datos de calidad para MTTD/MTTR y automatización.</w:t>
      </w:r>
    </w:p>
    <w:p>
      <w:pPr>
        <w:pStyle w:val="ListBullet"/>
        <w:keepLines w:val="1"/>
        <w:widowControl w:val="1"/>
      </w:pPr>
      <w:r>
        <w:t>Conectar indicadores con decisiones (inversión, priorización de casos de uso).</w:t>
      </w:r>
    </w:p>
    <w:p>
      <w:pPr>
        <w:pStyle w:val="Heading2"/>
        <w:keepNext/>
        <w:keepLines/>
      </w:pPr>
      <w:r>
        <w:rPr>
          <w:color w:val="0066CC"/>
        </w:rPr>
        <w:t>Diapositiva 14 – Mensajes clave para reguladores/política pública</w:t>
      </w:r>
    </w:p>
    <w:p>
      <w:pPr>
        <w:pStyle w:val="ListBullet"/>
        <w:keepLines w:val="1"/>
        <w:keepNext w:val="1"/>
        <w:widowControl w:val="1"/>
      </w:pPr>
      <w:r>
        <w:t>3–5 puntos:</w:t>
      </w:r>
    </w:p>
    <w:p>
      <w:pPr>
        <w:pStyle w:val="ListBullet"/>
        <w:keepLines w:val="1"/>
        <w:keepNext w:val="1"/>
        <w:widowControl w:val="1"/>
      </w:pPr>
      <w:r>
        <w:t>Solicitar un subconjunto pequeño de métricas bien definidas y trazables.</w:t>
      </w:r>
    </w:p>
    <w:p>
      <w:pPr>
        <w:pStyle w:val="ListBullet"/>
        <w:keepLines w:val="1"/>
        <w:keepNext w:val="1"/>
        <w:widowControl w:val="1"/>
      </w:pPr>
      <w:r>
        <w:t>Fomentar el uso de SOAR para reporting, no solo para operación.</w:t>
      </w:r>
    </w:p>
    <w:p>
      <w:pPr>
        <w:pStyle w:val="ListBullet"/>
        <w:keepLines w:val="1"/>
        <w:widowControl w:val="1"/>
      </w:pPr>
      <w:r>
        <w:t>Utilizar el marco GQM + PRAGMATIC para revisar requerimientos de información.</w:t>
      </w:r>
    </w:p>
    <w:p>
      <w:pPr>
        <w:pStyle w:val="Heading2"/>
        <w:keepNext/>
        <w:keepLines/>
      </w:pPr>
      <w:r>
        <w:rPr>
          <w:color w:val="0066CC"/>
        </w:rPr>
        <w:t>Diapositiva 15 – Roadmap propuesto</w:t>
      </w:r>
    </w:p>
    <w:p>
      <w:pPr>
        <w:pStyle w:val="ListBullet"/>
        <w:keepLines w:val="1"/>
        <w:keepNext w:val="1"/>
        <w:widowControl w:val="1"/>
      </w:pPr>
      <w:r>
        <w:t>Fases sugeridas:</w:t>
      </w:r>
    </w:p>
    <w:p>
      <w:pPr>
        <w:pStyle w:val="ListBullet"/>
        <w:keepLines w:val="1"/>
        <w:keepNext w:val="1"/>
        <w:widowControl w:val="1"/>
      </w:pPr>
      <w:r>
        <w:t>Corto plazo: estandarizar definiciones de métricas, arrancar recogida piloto.</w:t>
      </w:r>
    </w:p>
    <w:p>
      <w:pPr>
        <w:pStyle w:val="ListBullet"/>
        <w:keepLines w:val="1"/>
        <w:keepNext w:val="1"/>
        <w:widowControl w:val="1"/>
      </w:pPr>
      <w:r>
        <w:t>Medio plazo: consolidar panel nacional, ajustar métricas según PRAGMATIC.</w:t>
      </w:r>
    </w:p>
    <w:p>
      <w:pPr>
        <w:pStyle w:val="ListBullet"/>
        <w:keepLines w:val="1"/>
        <w:widowControl w:val="1"/>
      </w:pPr>
      <w:r>
        <w:t>Largo plazo: integrar métricas con evaluación de riesgo país y decisiones de inversión.</w:t>
      </w:r>
    </w:p>
    <w:p>
      <w:pPr>
        <w:pStyle w:val="Heading2"/>
        <w:keepNext/>
        <w:keepLines/>
      </w:pPr>
      <w:r>
        <w:rPr>
          <w:color w:val="0066CC"/>
        </w:rPr>
        <w:t>Diapositiva 16 – Cierre</w:t>
      </w:r>
    </w:p>
    <w:p>
      <w:pPr>
        <w:pStyle w:val="ListBullet"/>
        <w:keepLines w:val="1"/>
        <w:keepNext w:val="1"/>
        <w:widowControl w:val="1"/>
      </w:pPr>
      <w:r>
        <w:t>Recordatorio de por qué “menos métricas, pero mejores” es una estrategia sensata.</w:t>
      </w:r>
    </w:p>
    <w:p>
      <w:pPr>
        <w:pStyle w:val="ListBullet"/>
        <w:keepLines w:val="1"/>
        <w:widowControl w:val="1"/>
      </w:pPr>
      <w:r>
        <w:t>Invitación a participar en futuras iteraciones y a contribuir con casos de uso y datos.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