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STRIDE (para presentación tipo PowerPoint)</w:t>
      </w:r>
    </w:p>
    <w:p>
      <w:r>
        <w:t>Estructura sugerida de un reporte ejecutivo basado en los resultados de la Encuesta STRIDE, pensado para comités de dirección, consejos de administración y otras criaturas decididamente humanas.</w:t>
      </w:r>
    </w:p>
    <w:p>
      <w:pPr>
        <w:pStyle w:val="Heading2"/>
        <w:keepNext/>
        <w:keepLines/>
      </w:pPr>
      <w:r>
        <w:rPr>
          <w:color w:val="0066CC"/>
        </w:rPr>
        <w:t>Portada</w:t>
      </w:r>
    </w:p>
    <w:p>
      <w:pPr>
        <w:pStyle w:val="ListBullet"/>
        <w:keepLines w:val="1"/>
        <w:keepNext w:val="1"/>
        <w:widowControl w:val="1"/>
      </w:pPr>
      <w:r>
        <w:t>Título:</w:t>
        <w:br/>
        <w:t>“Informe de Madurez STRIDE de Ciberseguridad – [Nombre de la organización] – [Año]”</w:t>
      </w:r>
    </w:p>
    <w:p>
      <w:pPr>
        <w:pStyle w:val="ListBullet"/>
        <w:keepLines w:val="1"/>
        <w:keepNext w:val="1"/>
        <w:widowControl w:val="1"/>
      </w:pPr>
      <w:r>
        <w:t>Subtítulo:</w:t>
        <w:br/>
        <w:t xml:space="preserve">  “Spoofing, Tampering, Repudiation, Divulgación, DoS y Privilegios: un viaje guiado”.</w:t>
      </w:r>
    </w:p>
    <w:p>
      <w:pPr>
        <w:pStyle w:val="ListBullet"/>
        <w:keepLines w:val="1"/>
        <w:widowControl w:val="1"/>
      </w:pPr>
      <w:r>
        <w:t>Datos: fecha, responsables, área promotora (CISO / Riesgos / Auditoría).</w:t>
      </w:r>
    </w:p>
    <w:p>
      <w:pPr>
        <w:pStyle w:val="Heading2"/>
        <w:keepNext/>
        <w:keepLines/>
      </w:pPr>
      <w:r>
        <w:rPr>
          <w:color w:val="0066CC"/>
        </w:rPr>
        <w:t>Diapositiva 1 – Resumen ejecutivo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3–4 bullets sobre:</w:t>
      </w:r>
    </w:p>
    <w:p>
      <w:pPr>
        <w:pStyle w:val="ListBullet"/>
        <w:keepLines w:val="1"/>
        <w:keepNext w:val="1"/>
        <w:widowControl w:val="1"/>
      </w:pPr>
      <w:r>
        <w:t>Nivel global de madurez (IGM-STRIDE).</w:t>
      </w:r>
    </w:p>
    <w:p>
      <w:pPr>
        <w:pStyle w:val="ListBullet"/>
        <w:keepLines w:val="1"/>
        <w:keepNext w:val="1"/>
        <w:widowControl w:val="1"/>
      </w:pPr>
      <w:r>
        <w:t>Principales fortalezas (categorías con mejor puntuación).</w:t>
      </w:r>
    </w:p>
    <w:p>
      <w:pPr>
        <w:pStyle w:val="ListBullet"/>
        <w:keepLines w:val="1"/>
        <w:keepNext w:val="1"/>
        <w:widowControl w:val="1"/>
      </w:pPr>
      <w:r>
        <w:t>Principales debilidades (brechas relevantes).</w:t>
      </w:r>
    </w:p>
    <w:p>
      <w:pPr>
        <w:pStyle w:val="ListBullet"/>
        <w:keepLines w:val="1"/>
        <w:keepNext w:val="1"/>
        <w:widowControl w:val="1"/>
      </w:pPr>
      <w:r>
        <w:t>Riesgos normativos / operativos asociados.</w:t>
      </w:r>
    </w:p>
    <w:p>
      <w:pPr>
        <w:pStyle w:val="ListBullet"/>
        <w:keepLines w:val="1"/>
        <w:widowControl w:val="1"/>
      </w:pPr>
      <w:r>
        <w:t>Un gráfico sencillo (barra o velocímetro) con el IGM-STRIDE sobre la escala 0–1 y calificación cualitativa (Inicial, Básico, Intermedio, Avanzado).</w:t>
      </w:r>
    </w:p>
    <w:p>
      <w:pPr>
        <w:pStyle w:val="Heading2"/>
        <w:keepNext/>
        <w:keepLines/>
      </w:pPr>
      <w:r>
        <w:rPr>
          <w:color w:val="0066CC"/>
        </w:rPr>
        <w:t>Diapositiva 2 – Metodología</w:t>
      </w:r>
    </w:p>
    <w:p>
      <w:pPr>
        <w:pStyle w:val="ListBullet"/>
        <w:keepLines w:val="1"/>
        <w:keepNext w:val="1"/>
        <w:widowControl w:val="1"/>
      </w:pPr>
      <w:r>
        <w:t>Breve explicación de la encuesta:</w:t>
      </w:r>
    </w:p>
    <w:p>
      <w:pPr>
        <w:pStyle w:val="ListBullet"/>
        <w:keepLines w:val="1"/>
        <w:keepNext w:val="1"/>
        <w:widowControl w:val="1"/>
      </w:pPr>
      <w:r>
        <w:t>Número de preguntas y bloques.</w:t>
      </w:r>
    </w:p>
    <w:p>
      <w:pPr>
        <w:pStyle w:val="ListBullet"/>
        <w:keepLines w:val="1"/>
        <w:keepNext w:val="1"/>
        <w:widowControl w:val="1"/>
      </w:pPr>
      <w:r>
        <w:t>Roles participantes.</w:t>
      </w:r>
    </w:p>
    <w:p>
      <w:pPr>
        <w:pStyle w:val="ListBullet"/>
        <w:keepLines w:val="1"/>
        <w:keepNext w:val="1"/>
        <w:widowControl w:val="1"/>
      </w:pPr>
      <w:r>
        <w:t>Fecha de realización y alcance (organización completa, unidad, servicio crítico).</w:t>
      </w:r>
    </w:p>
    <w:p>
      <w:pPr>
        <w:pStyle w:val="ListBullet"/>
        <w:keepLines w:val="1"/>
        <w:widowControl w:val="1"/>
      </w:pPr>
      <w:r>
        <w:t>Referencia a NIS2, ENS y otros marcos relevantes como guías de fondo.</w:t>
      </w:r>
    </w:p>
    <w:p>
      <w:pPr>
        <w:pStyle w:val="Heading2"/>
        <w:keepNext/>
        <w:keepLines/>
      </w:pPr>
      <w:r>
        <w:rPr>
          <w:color w:val="0066CC"/>
        </w:rPr>
        <w:t>Diapositiva 3 – Perfil STRIDE</w:t>
      </w:r>
    </w:p>
    <w:p>
      <w:pPr>
        <w:pStyle w:val="ListBullet"/>
        <w:keepLines w:val="1"/>
        <w:keepNext w:val="1"/>
        <w:widowControl w:val="1"/>
      </w:pPr>
      <w:r>
        <w:t>Gráfico radar (o barras apiladas) con las puntuaciones normalizadas de:</w:t>
      </w:r>
    </w:p>
    <w:p>
      <w:pPr>
        <w:pStyle w:val="ListBullet"/>
        <w:keepLines w:val="1"/>
        <w:keepNext w:val="1"/>
        <w:widowControl w:val="1"/>
      </w:pPr>
      <w:r>
        <w:t>S (Spoofing)</w:t>
      </w:r>
    </w:p>
    <w:p>
      <w:pPr>
        <w:pStyle w:val="ListBullet"/>
        <w:keepLines w:val="1"/>
        <w:keepNext w:val="1"/>
        <w:widowControl w:val="1"/>
      </w:pPr>
      <w:r>
        <w:t>T (Tampering)</w:t>
      </w:r>
    </w:p>
    <w:p>
      <w:pPr>
        <w:pStyle w:val="ListBullet"/>
        <w:keepLines w:val="1"/>
        <w:keepNext w:val="1"/>
        <w:widowControl w:val="1"/>
      </w:pPr>
      <w:r>
        <w:t>R (Repudiation)</w:t>
      </w:r>
    </w:p>
    <w:p>
      <w:pPr>
        <w:pStyle w:val="ListBullet"/>
        <w:keepLines w:val="1"/>
        <w:keepNext w:val="1"/>
        <w:widowControl w:val="1"/>
      </w:pPr>
      <w:r>
        <w:t>I (Information Disclosure)</w:t>
      </w:r>
    </w:p>
    <w:p>
      <w:pPr>
        <w:pStyle w:val="ListBullet"/>
        <w:keepLines w:val="1"/>
        <w:keepNext w:val="1"/>
        <w:widowControl w:val="1"/>
      </w:pPr>
      <w:r>
        <w:t>D (Denial of Service)</w:t>
      </w:r>
    </w:p>
    <w:p>
      <w:pPr>
        <w:pStyle w:val="ListBullet"/>
        <w:keepLines w:val="1"/>
        <w:keepNext w:val="1"/>
        <w:widowControl w:val="1"/>
      </w:pPr>
      <w:r>
        <w:t>E (Elevation of Privilege)</w:t>
      </w:r>
    </w:p>
    <w:p>
      <w:pPr>
        <w:pStyle w:val="ListBullet"/>
        <w:keepLines w:val="1"/>
        <w:keepNext w:val="1"/>
        <w:widowControl w:val="1"/>
      </w:pPr>
      <w:r>
        <w:t>GOV (Gobierno)</w:t>
      </w:r>
    </w:p>
    <w:p>
      <w:pPr>
        <w:pStyle w:val="ListBullet"/>
        <w:keepLines w:val="1"/>
        <w:keepNext w:val="1"/>
        <w:widowControl w:val="1"/>
      </w:pPr>
      <w:r>
        <w:br/>
        <w:t>MET (Métricas)</w:t>
        <w:br/>
      </w:r>
    </w:p>
    <w:p>
      <w:pPr>
        <w:pStyle w:val="ListBullet"/>
        <w:keepLines w:val="1"/>
        <w:widowControl w:val="1"/>
      </w:pPr>
      <w:r>
        <w:br/>
        <w:t>Comentario breve por categoría (1 frase por letra) resaltando el nivel y una idea clave.</w:t>
        <w:br/>
      </w:r>
    </w:p>
    <w:p>
      <w:r>
        <w:t>MET (Métricas)</w:t>
      </w:r>
    </w:p>
    <w:p>
      <w:r>
        <w:t>Comentario breve por categoría (1 frase por letra) resaltando el nivel y una idea clave.</w:t>
      </w:r>
    </w:p>
    <w:p>
      <w:pPr>
        <w:pStyle w:val="Heading2"/>
        <w:keepNext/>
        <w:keepLines/>
      </w:pPr>
      <w:r>
        <w:rPr>
          <w:color w:val="0066CC"/>
        </w:rPr>
        <w:t>Diapositiva 4 – Spoofing e identidad</w:t>
      </w:r>
    </w:p>
    <w:p>
      <w:pPr>
        <w:pStyle w:val="ListBullet"/>
        <w:keepLines w:val="1"/>
        <w:keepNext w:val="1"/>
        <w:widowControl w:val="1"/>
      </w:pPr>
      <w:r>
        <w:t>Subtítulo: “Quién dice ser quién”</w:t>
      </w:r>
    </w:p>
    <w:p>
      <w:pPr>
        <w:pStyle w:val="ListBullet"/>
        <w:keepLines w:val="1"/>
        <w:keepNext w:val="1"/>
        <w:widowControl w:val="1"/>
      </w:pPr>
      <w:r>
        <w:t>Elementos:</w:t>
      </w:r>
    </w:p>
    <w:p>
      <w:pPr>
        <w:pStyle w:val="ListBullet"/>
        <w:keepLines w:val="1"/>
        <w:keepNext w:val="1"/>
        <w:widowControl w:val="1"/>
      </w:pPr>
      <w:r>
        <w:t>Puntuación de Spoofing.</w:t>
      </w:r>
    </w:p>
    <w:p>
      <w:pPr>
        <w:pStyle w:val="ListBullet"/>
        <w:keepLines w:val="1"/>
        <w:keepNext w:val="1"/>
        <w:widowControl w:val="1"/>
      </w:pPr>
      <w:r>
        <w:t>2–3 indicadores clave (por ejemplo:</w:t>
        <w:br/>
        <w:t>% de accesos críticos con MFA.</w:t>
        <w:br/>
        <w:t>Estado de la gestión de identidades privilegiadas.</w:t>
        <w:br/>
        <w:t>Cobertura de autenticación fuerte en APIs).</w:t>
        <w:br/>
        <w:br/>
      </w:r>
    </w:p>
    <w:p>
      <w:pPr>
        <w:pStyle w:val="ListBullet"/>
        <w:keepLines w:val="1"/>
        <w:widowControl w:val="1"/>
      </w:pPr>
      <w:r>
        <w:t>1–2 riesgos destacados y 1–2 acciones prioritarias.</w:t>
      </w:r>
    </w:p>
    <w:p>
      <w:pPr>
        <w:pStyle w:val="ListBullet"/>
        <w:keepLines w:val="1"/>
        <w:keepNext w:val="1"/>
        <w:widowControl w:val="1"/>
      </w:pPr>
      <w:r>
        <w:t>% de accesos críticos con MFA.</w:t>
      </w:r>
    </w:p>
    <w:p>
      <w:pPr>
        <w:pStyle w:val="ListBullet"/>
        <w:keepLines w:val="1"/>
        <w:keepNext w:val="1"/>
        <w:widowControl w:val="1"/>
      </w:pPr>
      <w:r>
        <w:t>Estado de la gestión de identidades privilegiadas.</w:t>
      </w:r>
    </w:p>
    <w:p>
      <w:pPr>
        <w:pStyle w:val="ListBullet"/>
        <w:keepLines w:val="1"/>
        <w:widowControl w:val="1"/>
      </w:pPr>
      <w:r>
        <w:t>Cobertura de autenticación fuerte en APIs).</w:t>
      </w:r>
    </w:p>
    <w:p>
      <w:pPr>
        <w:pStyle w:val="Heading2"/>
        <w:keepNext/>
        <w:keepLines/>
      </w:pPr>
      <w:r>
        <w:rPr>
          <w:color w:val="0066CC"/>
        </w:rPr>
        <w:t>Diapositiva 5 – Tampering e integridad</w:t>
      </w:r>
    </w:p>
    <w:p>
      <w:pPr>
        <w:pStyle w:val="ListBullet"/>
        <w:keepLines w:val="1"/>
        <w:keepNext w:val="1"/>
        <w:widowControl w:val="1"/>
      </w:pPr>
      <w:r>
        <w:t>Subtítulo: “Lo que se escribe no se borra (o sí)”</w:t>
      </w:r>
    </w:p>
    <w:p>
      <w:pPr>
        <w:pStyle w:val="ListBullet"/>
        <w:keepLines w:val="1"/>
        <w:keepNext w:val="1"/>
        <w:widowControl w:val="1"/>
      </w:pPr>
      <w:r>
        <w:t>Elementos:</w:t>
      </w:r>
    </w:p>
    <w:p>
      <w:pPr>
        <w:pStyle w:val="ListBullet"/>
        <w:keepLines w:val="1"/>
        <w:keepNext w:val="1"/>
        <w:widowControl w:val="1"/>
      </w:pPr>
      <w:r>
        <w:t>Puntuación de Tampering.</w:t>
      </w:r>
    </w:p>
    <w:p>
      <w:pPr>
        <w:pStyle w:val="ListBullet"/>
        <w:keepLines w:val="1"/>
        <w:keepNext w:val="1"/>
        <w:widowControl w:val="1"/>
      </w:pPr>
      <w:r>
        <w:t>Indicadores representativos:</w:t>
        <w:br/>
        <w:t>% de datos/logs críticos con integridad criptográfica.</w:t>
        <w:br/>
        <w:t>Gestión de cambios.</w:t>
        <w:br/>
        <w:t>Riesgos en IoT/OT, si aplica.</w:t>
        <w:br/>
        <w:br/>
      </w:r>
    </w:p>
    <w:p>
      <w:pPr>
        <w:pStyle w:val="ListBullet"/>
        <w:keepLines w:val="1"/>
        <w:widowControl w:val="1"/>
      </w:pPr>
      <w:r>
        <w:t>Próximos pasos propuestos (controles técnicos y organizativos).</w:t>
      </w:r>
    </w:p>
    <w:p>
      <w:pPr>
        <w:pStyle w:val="ListBullet"/>
        <w:keepLines w:val="1"/>
        <w:keepNext w:val="1"/>
        <w:widowControl w:val="1"/>
      </w:pPr>
      <w:r>
        <w:t>% de datos/logs críticos con integridad criptográfica.</w:t>
      </w:r>
    </w:p>
    <w:p>
      <w:pPr>
        <w:pStyle w:val="ListBullet"/>
        <w:keepLines w:val="1"/>
        <w:keepNext w:val="1"/>
        <w:widowControl w:val="1"/>
      </w:pPr>
      <w:r>
        <w:t>Gestión de cambios.</w:t>
      </w:r>
    </w:p>
    <w:p>
      <w:pPr>
        <w:pStyle w:val="ListBullet"/>
        <w:keepLines w:val="1"/>
        <w:widowControl w:val="1"/>
      </w:pPr>
      <w:r>
        <w:t>Riesgos en IoT/OT, si aplica.</w:t>
      </w:r>
    </w:p>
    <w:p>
      <w:pPr>
        <w:pStyle w:val="Heading2"/>
        <w:keepNext/>
        <w:keepLines/>
      </w:pPr>
      <w:r>
        <w:rPr>
          <w:color w:val="0066CC"/>
        </w:rPr>
        <w:t>Diapositiva 6 – Repudiation y trazabilidad</w:t>
      </w:r>
    </w:p>
    <w:p>
      <w:pPr>
        <w:pStyle w:val="ListBullet"/>
        <w:keepLines w:val="1"/>
        <w:keepNext w:val="1"/>
        <w:widowControl w:val="1"/>
      </w:pPr>
      <w:r>
        <w:t>Subtítulo: “Quién hizo qué, cuándo y cómo lo explicamos”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Puntuación de Repudiation.</w:t>
      </w:r>
    </w:p>
    <w:p>
      <w:pPr>
        <w:pStyle w:val="ListBullet"/>
        <w:keepLines w:val="1"/>
        <w:keepNext w:val="1"/>
        <w:widowControl w:val="1"/>
      </w:pPr>
      <w:r>
        <w:t>Nivel de cobertura de logging e inmutabilidad.</w:t>
      </w:r>
    </w:p>
    <w:p>
      <w:pPr>
        <w:pStyle w:val="ListBullet"/>
        <w:keepLines w:val="1"/>
        <w:keepNext w:val="1"/>
        <w:widowControl w:val="1"/>
      </w:pPr>
      <w:r>
        <w:t>Capacidad para reconstruir incidentes (ejercicios realizados).</w:t>
      </w:r>
    </w:p>
    <w:p>
      <w:pPr>
        <w:pStyle w:val="ListBullet"/>
        <w:keepLines w:val="1"/>
        <w:widowControl w:val="1"/>
      </w:pPr>
      <w:r>
        <w:t>Implicaciones legales/normativas (NIS2, ENS, auditoría).</w:t>
      </w:r>
    </w:p>
    <w:p>
      <w:pPr>
        <w:pStyle w:val="Heading2"/>
        <w:keepNext/>
        <w:keepLines/>
      </w:pPr>
      <w:r>
        <w:rPr>
          <w:color w:val="0066CC"/>
        </w:rPr>
        <w:t>Diapositiva 7 – Information Disclosure y confidencialidad</w:t>
      </w:r>
    </w:p>
    <w:p>
      <w:pPr>
        <w:pStyle w:val="ListBullet"/>
        <w:keepLines w:val="1"/>
        <w:keepNext w:val="1"/>
        <w:widowControl w:val="1"/>
      </w:pPr>
      <w:r>
        <w:t>Subtítulo: “Lo que no debe saberse (ni filtrarse)”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Puntuación de Information Disclosure.</w:t>
      </w:r>
    </w:p>
    <w:p>
      <w:pPr>
        <w:pStyle w:val="ListBullet"/>
        <w:keepLines w:val="1"/>
        <w:keepNext w:val="1"/>
        <w:widowControl w:val="1"/>
      </w:pPr>
      <w:r>
        <w:t>Estado de clasificación de datos y cifrado.</w:t>
      </w:r>
    </w:p>
    <w:p>
      <w:pPr>
        <w:pStyle w:val="ListBullet"/>
        <w:keepLines w:val="1"/>
        <w:keepNext w:val="1"/>
        <w:widowControl w:val="1"/>
      </w:pPr>
      <w:r>
        <w:t>Riesgos en integraciones con terceros y cloud.</w:t>
      </w:r>
    </w:p>
    <w:p>
      <w:pPr>
        <w:pStyle w:val="ListBullet"/>
        <w:keepLines w:val="1"/>
        <w:widowControl w:val="1"/>
      </w:pPr>
      <w:r>
        <w:t>Consideraciones sobre IA y fuga de datos.</w:t>
      </w:r>
    </w:p>
    <w:p>
      <w:pPr>
        <w:pStyle w:val="Heading2"/>
        <w:keepNext/>
        <w:keepLines/>
      </w:pPr>
      <w:r>
        <w:rPr>
          <w:color w:val="0066CC"/>
        </w:rPr>
        <w:t>Diapositiva 8 – DoS y resiliencia</w:t>
      </w:r>
    </w:p>
    <w:p>
      <w:pPr>
        <w:pStyle w:val="ListBullet"/>
        <w:keepLines w:val="1"/>
        <w:keepNext w:val="1"/>
        <w:widowControl w:val="1"/>
      </w:pPr>
      <w:r>
        <w:t>Subtítulo: “Cuando lo importante es seguir funcionando”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Puntuación de Denial of Service.</w:t>
      </w:r>
    </w:p>
    <w:p>
      <w:pPr>
        <w:pStyle w:val="ListBullet"/>
        <w:keepLines w:val="1"/>
        <w:keepNext w:val="1"/>
        <w:widowControl w:val="1"/>
      </w:pPr>
      <w:r>
        <w:t>Indicadores de disponibilidad y pruebas de continuidad.</w:t>
      </w:r>
    </w:p>
    <w:p>
      <w:pPr>
        <w:pStyle w:val="ListBullet"/>
        <w:keepLines w:val="1"/>
        <w:keepNext w:val="1"/>
        <w:widowControl w:val="1"/>
      </w:pPr>
      <w:r>
        <w:t>Preparación frente a ataques de saturación.</w:t>
      </w:r>
    </w:p>
    <w:p>
      <w:pPr>
        <w:pStyle w:val="ListBullet"/>
        <w:keepLines w:val="1"/>
        <w:widowControl w:val="1"/>
      </w:pPr>
      <w:r>
        <w:t>Resiliencia del propio SOC / capacidades de seguridad.</w:t>
      </w:r>
    </w:p>
    <w:p>
      <w:pPr>
        <w:pStyle w:val="Heading2"/>
        <w:keepNext/>
        <w:keepLines/>
      </w:pPr>
      <w:r>
        <w:rPr>
          <w:color w:val="0066CC"/>
        </w:rPr>
        <w:t>Diapositiva 9 – Elevation of Privilege</w:t>
      </w:r>
    </w:p>
    <w:p>
      <w:pPr>
        <w:pStyle w:val="ListBullet"/>
        <w:keepLines w:val="1"/>
        <w:keepNext w:val="1"/>
        <w:widowControl w:val="1"/>
      </w:pPr>
      <w:r>
        <w:t>Subtítulo: “Pequeños golpes de Estado digitales”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Puntuación de Elevation of Privilege.</w:t>
      </w:r>
    </w:p>
    <w:p>
      <w:pPr>
        <w:pStyle w:val="ListBullet"/>
        <w:keepLines w:val="1"/>
        <w:keepNext w:val="1"/>
        <w:widowControl w:val="1"/>
      </w:pPr>
      <w:r>
        <w:t>Estado de PAM, mínimo privilegio y segregación de funciones.</w:t>
      </w:r>
    </w:p>
    <w:p>
      <w:pPr>
        <w:pStyle w:val="ListBullet"/>
        <w:keepLines w:val="1"/>
        <w:keepNext w:val="1"/>
        <w:widowControl w:val="1"/>
      </w:pPr>
      <w:r>
        <w:t>Riesgos concretos identificados (ejemplos sin detalles sensibles).</w:t>
      </w:r>
    </w:p>
    <w:p>
      <w:pPr>
        <w:pStyle w:val="ListBullet"/>
        <w:keepLines w:val="1"/>
        <w:widowControl w:val="1"/>
      </w:pPr>
      <w:r>
        <w:t>Acciones estratégicas de reforzamiento.</w:t>
      </w:r>
    </w:p>
    <w:p>
      <w:pPr>
        <w:pStyle w:val="Heading2"/>
        <w:keepNext/>
        <w:keepLines/>
      </w:pPr>
      <w:r>
        <w:rPr>
          <w:color w:val="0066CC"/>
        </w:rPr>
        <w:t>Diapositiva 10 – Métricas y ROI</w:t>
      </w:r>
    </w:p>
    <w:p>
      <w:pPr>
        <w:pStyle w:val="ListBullet"/>
        <w:keepLines w:val="1"/>
        <w:keepNext w:val="1"/>
        <w:widowControl w:val="1"/>
      </w:pPr>
      <w:r>
        <w:t>Subtítulo: “De la fe a los datos”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Visión de conjunto del cuadro de mando existente.</w:t>
      </w:r>
    </w:p>
    <w:p>
      <w:pPr>
        <w:pStyle w:val="ListBullet"/>
        <w:keepLines w:val="1"/>
        <w:keepNext w:val="1"/>
        <w:widowControl w:val="1"/>
      </w:pPr>
      <w:r>
        <w:t>3–5 controles con mejor ROI estimado (ejemplo: MFA, PAM, WAF, logging centralizado).</w:t>
      </w:r>
    </w:p>
    <w:p>
      <w:pPr>
        <w:pStyle w:val="ListBullet"/>
        <w:keepLines w:val="1"/>
        <w:widowControl w:val="1"/>
      </w:pPr>
      <w:r>
        <w:t>Propuesta de evolución del sistema de métricas a 12–24 meses.</w:t>
      </w:r>
    </w:p>
    <w:p>
      <w:pPr>
        <w:pStyle w:val="Heading2"/>
        <w:keepNext/>
        <w:keepLines/>
      </w:pPr>
      <w:r>
        <w:rPr>
          <w:color w:val="0066CC"/>
        </w:rPr>
        <w:t>Diapositiva 11 – Roadmap de mejora</w:t>
      </w:r>
    </w:p>
    <w:p>
      <w:pPr>
        <w:pStyle w:val="ListBullet"/>
        <w:keepLines w:val="1"/>
        <w:keepNext w:val="1"/>
        <w:widowControl w:val="1"/>
      </w:pPr>
      <w:r>
        <w:t>Tabla o diagrama con:</w:t>
      </w:r>
    </w:p>
    <w:p>
      <w:pPr>
        <w:pStyle w:val="ListBullet"/>
        <w:keepLines w:val="1"/>
        <w:keepNext w:val="1"/>
        <w:widowControl w:val="1"/>
      </w:pPr>
      <w:r>
        <w:t>5–10 acciones priorizadas.</w:t>
      </w:r>
    </w:p>
    <w:p>
      <w:pPr>
        <w:pStyle w:val="ListBullet"/>
        <w:keepLines w:val="1"/>
        <w:keepNext w:val="1"/>
        <w:widowControl w:val="1"/>
      </w:pPr>
      <w:r>
        <w:t>Plazo (corto, medio, largo).</w:t>
      </w:r>
    </w:p>
    <w:p>
      <w:pPr>
        <w:pStyle w:val="ListBullet"/>
        <w:keepLines w:val="1"/>
        <w:keepNext w:val="1"/>
        <w:widowControl w:val="1"/>
      </w:pPr>
      <w:r>
        <w:t>Responsable (área).</w:t>
      </w:r>
    </w:p>
    <w:p>
      <w:pPr>
        <w:pStyle w:val="ListBullet"/>
        <w:keepLines w:val="1"/>
        <w:widowControl w:val="1"/>
      </w:pPr>
      <w:r>
        <w:t>Relación con categorías STRIDE y requisitos normativos.</w:t>
      </w:r>
    </w:p>
    <w:p>
      <w:pPr>
        <w:pStyle w:val="Heading2"/>
        <w:keepNext/>
        <w:keepLines/>
      </w:pPr>
      <w:r>
        <w:rPr>
          <w:color w:val="0066CC"/>
        </w:rPr>
        <w:t>Diapositiva 12 – Cierre y próximos pasos</w:t>
      </w:r>
    </w:p>
    <w:p>
      <w:pPr>
        <w:pStyle w:val="ListBullet"/>
        <w:keepLines w:val="1"/>
        <w:keepNext w:val="1"/>
        <w:widowControl w:val="1"/>
      </w:pPr>
      <w:r>
        <w:t>Recordatorio:</w:t>
      </w:r>
    </w:p>
    <w:p>
      <w:pPr>
        <w:pStyle w:val="ListBullet"/>
        <w:keepLines w:val="1"/>
        <w:keepNext w:val="1"/>
        <w:widowControl w:val="1"/>
      </w:pPr>
      <w:r>
        <w:t>Periodicidad recomendada de repetir la encuesta.</w:t>
      </w:r>
    </w:p>
    <w:p>
      <w:pPr>
        <w:pStyle w:val="ListBullet"/>
        <w:keepLines w:val="1"/>
        <w:keepNext w:val="1"/>
        <w:widowControl w:val="1"/>
      </w:pPr>
      <w:r>
        <w:t>Necesidad de alinear resultados con presupuestos y planificación.</w:t>
      </w:r>
    </w:p>
    <w:p>
      <w:pPr>
        <w:pStyle w:val="ListBullet"/>
        <w:keepLines w:val="1"/>
        <w:keepNext w:val="1"/>
        <w:widowControl w:val="1"/>
      </w:pPr>
      <w:r>
        <w:t>Propuesta de seguimiento (comité trimestral, indicadores, etc.).</w:t>
      </w:r>
    </w:p>
    <w:p>
      <w:pPr>
        <w:pStyle w:val="ListBullet"/>
        <w:keepLines w:val="1"/>
        <w:widowControl w:val="1"/>
      </w:pPr>
      <w:r>
        <w:t>Espacio para preguntas y comentarios.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