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Nacional sobre Indicadores y Métricas TIBER‑EU / TIBER‑ES</w:t>
      </w:r>
    </w:p>
    <w:p>
      <w:pPr>
        <w:pStyle w:val="Heading2"/>
        <w:keepNext/>
        <w:keepLines/>
      </w:pPr>
      <w:r>
        <w:rPr>
          <w:color w:val="0066CC"/>
        </w:rPr>
        <w:t>1. Propósito y alcance</w:t>
      </w:r>
    </w:p>
    <w:p>
      <w:r>
        <w:t>La presente guía describe la metodología para diseñar, administrar y analizar la encuesta nacional sobre el grado de adopción de TIBER‑EU/TIBER‑ES y el uso de indicadores y métricas de ciberresiliencia en organizaciones financieras y proveedores críticos.</w:t>
      </w:r>
    </w:p>
    <w:p>
      <w:r>
        <w:t>Objetivos principales:</w:t>
      </w:r>
    </w:p>
    <w:p>
      <w:pPr>
        <w:pStyle w:val="ListBullet"/>
        <w:keepLines w:val="1"/>
        <w:keepNext w:val="1"/>
        <w:widowControl w:val="1"/>
      </w:pPr>
      <w:r>
        <w:t xml:space="preserve">Medir el nivel de implantación de TIBER‑EU/TIBER‑ES en España y su alineamiento con DORA/TLPT.  </w:t>
      </w:r>
    </w:p>
    <w:p>
      <w:pPr>
        <w:pStyle w:val="ListBullet"/>
        <w:keepLines w:val="1"/>
        <w:keepNext w:val="1"/>
        <w:widowControl w:val="1"/>
      </w:pPr>
      <w:r>
        <w:t xml:space="preserve">Evaluar la madurez de las organizaciones en términos de indicadores clave (MTTD, MTTR, cobertura de CIFs, remediación, etc.).  </w:t>
      </w:r>
    </w:p>
    <w:p>
      <w:pPr>
        <w:pStyle w:val="ListBullet"/>
        <w:keepLines w:val="1"/>
        <w:widowControl w:val="1"/>
      </w:pPr>
      <w:r>
        <w:t xml:space="preserve">Identificar buenas prácticas, barreras y oportunidades de mejora para reguladores y entidades.  </w:t>
      </w:r>
    </w:p>
    <w:p>
      <w:pPr>
        <w:pStyle w:val="Heading2"/>
        <w:keepNext/>
        <w:keepLines/>
      </w:pPr>
      <w:r>
        <w:rPr>
          <w:color w:val="0066CC"/>
        </w:rPr>
        <w:t>2. Marco conceptual: enfoque GQM</w:t>
      </w:r>
    </w:p>
    <w:p>
      <w:r>
        <w:t xml:space="preserve">Se utilizará un enfoque </w:t>
      </w:r>
      <w:r>
        <w:rPr>
          <w:b/>
        </w:rPr>
        <w:t>Goal‑Question‑Metric (GQM)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br/>
        <w:t>Goal (Meta):</w:t>
        <w:br/>
        <w:t xml:space="preserve">  Evaluar y mejorar la ciberresiliencia del sector financiero español y su coherencia con el marco TIBER‑EU 2025 y TIBER‑ES.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Questions (Preguntas): </w:t>
        <w:br/>
      </w:r>
    </w:p>
    <w:p>
      <w:pPr>
        <w:pStyle w:val="ListBullet"/>
        <w:keepLines w:val="1"/>
        <w:keepNext w:val="1"/>
        <w:widowControl w:val="1"/>
      </w:pPr>
      <w:r>
        <w:t xml:space="preserve">¿Hasta qué punto las entidades han definido y cubierto sus funciones críticas (CIFs) en pruebas TIBER?  </w:t>
      </w:r>
    </w:p>
    <w:p>
      <w:pPr>
        <w:pStyle w:val="ListBullet"/>
        <w:keepLines w:val="1"/>
        <w:keepNext w:val="1"/>
        <w:widowControl w:val="1"/>
      </w:pPr>
      <w:r>
        <w:t xml:space="preserve">¿Cómo integran la inteligencia de amenazas (GTL/TTIR) en sus procesos?  </w:t>
      </w:r>
    </w:p>
    <w:p>
      <w:pPr>
        <w:pStyle w:val="ListBullet"/>
        <w:keepLines w:val="1"/>
        <w:keepNext w:val="1"/>
        <w:widowControl w:val="1"/>
      </w:pPr>
      <w:r>
        <w:t xml:space="preserve">¿Qué niveles de detección y respuesta se observan frente a escenarios avanzados?  </w:t>
      </w:r>
    </w:p>
    <w:p>
      <w:pPr>
        <w:pStyle w:val="ListBullet"/>
        <w:keepLines w:val="1"/>
        <w:keepNext w:val="1"/>
        <w:widowControl w:val="1"/>
      </w:pPr>
      <w:r>
        <w:br/>
        <w:t xml:space="preserve">¿Cómo se cierran las brechas mediante purple teaming y remediación?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Metrics (Métricas): </w:t>
        <w:br/>
      </w:r>
    </w:p>
    <w:p>
      <w:pPr>
        <w:pStyle w:val="ListBullet"/>
        <w:keepLines w:val="1"/>
        <w:keepNext w:val="1"/>
        <w:widowControl w:val="1"/>
      </w:pPr>
      <w:r>
        <w:t xml:space="preserve">Porcentaje de CIFs cubiertas.  </w:t>
      </w:r>
    </w:p>
    <w:p>
      <w:pPr>
        <w:pStyle w:val="ListBullet"/>
        <w:keepLines w:val="1"/>
        <w:keepNext w:val="1"/>
        <w:widowControl w:val="1"/>
      </w:pPr>
      <w:r>
        <w:t xml:space="preserve">MTTD/MTTR por tipo de escenario.  </w:t>
      </w:r>
    </w:p>
    <w:p>
      <w:pPr>
        <w:pStyle w:val="ListBullet"/>
        <w:keepLines w:val="1"/>
        <w:keepNext w:val="1"/>
        <w:widowControl w:val="1"/>
      </w:pPr>
      <w:r>
        <w:t xml:space="preserve">Porcentaje de recomendaciones implementadas.  </w:t>
      </w:r>
    </w:p>
    <w:p>
      <w:pPr>
        <w:pStyle w:val="ListBullet"/>
        <w:keepLines w:val="1"/>
        <w:widowControl w:val="1"/>
      </w:pPr>
      <w:r>
        <w:t xml:space="preserve">Índice Global de Madurez (IGM) compuesto.  </w:t>
      </w:r>
    </w:p>
    <w:p>
      <w:r>
        <w:rPr>
          <w:b/>
        </w:rPr>
        <w:t>Goal (Meta):</w:t>
      </w:r>
      <w:r/>
      <w:r>
        <w:br/>
        <w:t xml:space="preserve">  Evaluar y mejorar la ciberresiliencia del sector financiero español y su coherencia con el marco TIBER‑EU 2025 y TIBER‑ES.  </w:t>
      </w:r>
    </w:p>
    <w:p>
      <w:r>
        <w:rPr>
          <w:b/>
        </w:rPr>
        <w:t>Questions (Preguntas):</w:t>
      </w:r>
      <w:r>
        <w:t xml:space="preserve"> </w:t>
      </w:r>
    </w:p>
    <w:p>
      <w:r>
        <w:t xml:space="preserve">¿Cómo se cierran las brechas mediante purple teaming y remediación?  </w:t>
      </w:r>
    </w:p>
    <w:p>
      <w:r>
        <w:rPr>
          <w:b/>
        </w:rPr>
        <w:t>Metrics (Métricas):</w:t>
      </w:r>
      <w:r>
        <w:t xml:space="preserve"> </w:t>
      </w:r>
    </w:p>
    <w:p>
      <w:r>
        <w:t>La encuesta se ha diseñado para que cada bloque de preguntas responda a una o varias preguntas GQM.</w:t>
      </w:r>
    </w:p>
    <w:p>
      <w:pPr>
        <w:pStyle w:val="Heading2"/>
        <w:keepNext/>
        <w:keepLines/>
      </w:pPr>
      <w:r>
        <w:rPr>
          <w:color w:val="0066CC"/>
        </w:rPr>
        <w:t>3. Población y muestra</w:t>
      </w:r>
    </w:p>
    <w:p>
      <w:pPr>
        <w:pStyle w:val="Heading3"/>
        <w:keepNext/>
        <w:keepLines/>
      </w:pPr>
      <w:r>
        <w:t>3.1. Población objetivo</w:t>
      </w:r>
    </w:p>
    <w:p>
      <w:pPr>
        <w:pStyle w:val="ListBullet"/>
        <w:keepLines w:val="1"/>
        <w:keepNext w:val="1"/>
        <w:widowControl w:val="1"/>
      </w:pPr>
      <w:r>
        <w:t xml:space="preserve">Entidades financieras significativas en España:  </w:t>
      </w:r>
    </w:p>
    <w:p>
      <w:pPr>
        <w:pStyle w:val="ListBullet"/>
        <w:keepLines w:val="1"/>
        <w:keepNext w:val="1"/>
        <w:widowControl w:val="1"/>
      </w:pPr>
      <w:r>
        <w:t xml:space="preserve">Entidades de crédito de importancia sistémica o relevante.  </w:t>
      </w:r>
    </w:p>
    <w:p>
      <w:pPr>
        <w:pStyle w:val="ListBullet"/>
        <w:keepLines w:val="1"/>
        <w:keepNext w:val="1"/>
        <w:widowControl w:val="1"/>
      </w:pPr>
      <w:r>
        <w:t xml:space="preserve">Entidades aseguradoras/reaseguradoras de mayor tamaño.  </w:t>
      </w:r>
    </w:p>
    <w:p>
      <w:pPr>
        <w:pStyle w:val="ListBullet"/>
        <w:keepLines w:val="1"/>
        <w:keepNext w:val="1"/>
        <w:widowControl w:val="1"/>
      </w:pPr>
      <w:r>
        <w:t xml:space="preserve">Infraestructuras de mercado financiero.  </w:t>
      </w:r>
    </w:p>
    <w:p>
      <w:pPr>
        <w:pStyle w:val="ListBullet"/>
        <w:keepLines w:val="1"/>
        <w:keepNext w:val="1"/>
        <w:widowControl w:val="1"/>
      </w:pPr>
      <w:r>
        <w:t xml:space="preserve">Gestoras de activos y otros intermediarios relevantes.  </w:t>
      </w:r>
    </w:p>
    <w:p>
      <w:pPr>
        <w:pStyle w:val="ListBullet"/>
        <w:keepLines w:val="1"/>
        <w:widowControl w:val="1"/>
      </w:pPr>
      <w:r>
        <w:t>Proveedores tecnológicos considerados críticos (según DORA o supervisores nacionales).</w:t>
      </w:r>
    </w:p>
    <w:p>
      <w:pPr>
        <w:pStyle w:val="Heading3"/>
        <w:keepNext/>
        <w:keepLines/>
      </w:pPr>
      <w:r>
        <w:t>3.2. Unidad de análisis</w:t>
      </w:r>
    </w:p>
    <w:p>
      <w:r>
        <w:t xml:space="preserve">La unidad de análisis es la </w:t>
      </w:r>
      <w:r>
        <w:rPr>
          <w:b/>
        </w:rPr>
        <w:t>entidad individual</w:t>
      </w:r>
      <w:r>
        <w:t xml:space="preserve"> (no el grupo consolidado), siempre que esté sujeta o potencialmente sujeta a TIBER‑ES/TIBER‑EU o a pruebas TLPT equivalentes.</w:t>
      </w:r>
    </w:p>
    <w:p>
      <w:r>
        <w:t>En grupos multinacionales, se recomienda una respuesta por entidad significativa en España.</w:t>
      </w:r>
    </w:p>
    <w:p>
      <w:pPr>
        <w:pStyle w:val="Heading3"/>
        <w:keepNext/>
        <w:keepLines/>
      </w:pPr>
      <w:r>
        <w:t>3.3. Selección muestral</w:t>
      </w:r>
    </w:p>
    <w:p>
      <w:pPr>
        <w:pStyle w:val="ListBullet"/>
        <w:keepLines w:val="1"/>
        <w:keepNext w:val="1"/>
        <w:widowControl w:val="1"/>
      </w:pPr>
      <w:r>
        <w:t xml:space="preserve">Muestra censal para las entidades sujetas a TIBER‑ES o consideradas sistémicas.  </w:t>
      </w:r>
    </w:p>
    <w:p>
      <w:pPr>
        <w:pStyle w:val="ListBullet"/>
        <w:keepLines w:val="1"/>
        <w:keepNext w:val="1"/>
        <w:widowControl w:val="1"/>
      </w:pPr>
      <w:r>
        <w:t xml:space="preserve">Muestra estratificada para el resto, con estratos por tamaño y subsector.  </w:t>
      </w:r>
    </w:p>
    <w:p>
      <w:pPr>
        <w:pStyle w:val="ListBullet"/>
        <w:keepLines w:val="1"/>
        <w:widowControl w:val="1"/>
      </w:pPr>
      <w:r>
        <w:t>Posibilidad de extender el ejercicio a entidades voluntarias (“early adopters”).</w:t>
      </w:r>
    </w:p>
    <w:p>
      <w:pPr>
        <w:pStyle w:val="Heading2"/>
        <w:keepNext/>
        <w:keepLines/>
      </w:pPr>
      <w:r>
        <w:rPr>
          <w:color w:val="0066CC"/>
        </w:rPr>
        <w:t>4. Roles y responsabilidades</w:t>
      </w:r>
    </w:p>
    <w:p>
      <w:pPr>
        <w:pStyle w:val="ListBullet"/>
        <w:keepLines w:val="1"/>
        <w:keepNext w:val="1"/>
        <w:widowControl w:val="1"/>
      </w:pPr>
      <w:r>
        <w:t xml:space="preserve">Equipo coordinador (p. ej. autoridad nacional o consorcio sectorial): </w:t>
      </w:r>
    </w:p>
    <w:p>
      <w:pPr>
        <w:pStyle w:val="ListBullet"/>
        <w:keepLines w:val="1"/>
        <w:keepNext w:val="1"/>
        <w:widowControl w:val="1"/>
      </w:pPr>
      <w:r>
        <w:t xml:space="preserve">Diseñar la versión final de la encuesta.  </w:t>
      </w:r>
    </w:p>
    <w:p>
      <w:pPr>
        <w:pStyle w:val="ListBullet"/>
        <w:keepLines w:val="1"/>
        <w:keepNext w:val="1"/>
        <w:widowControl w:val="1"/>
      </w:pPr>
      <w:r>
        <w:t xml:space="preserve">Gestionar la plataforma de recogida de respuestas.  </w:t>
      </w:r>
    </w:p>
    <w:p>
      <w:pPr>
        <w:pStyle w:val="ListBullet"/>
        <w:keepLines w:val="1"/>
        <w:keepNext w:val="1"/>
        <w:widowControl w:val="1"/>
      </w:pPr>
      <w:r>
        <w:br/>
        <w:t xml:space="preserve">Realizar el análisis estadístico agregado.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Punto de contacto en cada entidad (CISO u homólogo): </w:t>
        <w:br/>
      </w:r>
    </w:p>
    <w:p>
      <w:pPr>
        <w:pStyle w:val="ListBullet"/>
        <w:keepLines w:val="1"/>
        <w:keepNext w:val="1"/>
        <w:widowControl w:val="1"/>
      </w:pPr>
      <w:r>
        <w:t xml:space="preserve">Coordinar la cumplimentación interna de la encuesta.  </w:t>
      </w:r>
    </w:p>
    <w:p>
      <w:pPr>
        <w:pStyle w:val="ListBullet"/>
        <w:keepLines w:val="1"/>
        <w:keepNext w:val="1"/>
        <w:widowControl w:val="1"/>
      </w:pPr>
      <w:r>
        <w:t xml:space="preserve">Recabar información de otras áreas (riesgo, continuidad, negocio, etc.).  </w:t>
      </w:r>
    </w:p>
    <w:p>
      <w:pPr>
        <w:pStyle w:val="ListBullet"/>
        <w:keepLines w:val="1"/>
        <w:keepNext w:val="1"/>
        <w:widowControl w:val="1"/>
      </w:pPr>
      <w:r>
        <w:br/>
        <w:t xml:space="preserve">Validar las respuestas antes de su envío.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Comité asesor técnico: </w:t>
        <w:br/>
      </w:r>
    </w:p>
    <w:p>
      <w:pPr>
        <w:pStyle w:val="ListBullet"/>
        <w:keepLines w:val="1"/>
        <w:keepNext w:val="1"/>
        <w:widowControl w:val="1"/>
      </w:pPr>
      <w:r>
        <w:t xml:space="preserve">Revisar la coherencia de la encuesta con TIBER‑EU/TIBER‑ES y DORA.  </w:t>
      </w:r>
    </w:p>
    <w:p>
      <w:pPr>
        <w:pStyle w:val="ListBullet"/>
        <w:keepLines w:val="1"/>
        <w:widowControl w:val="1"/>
      </w:pPr>
      <w:r>
        <w:t xml:space="preserve">Proponer mejoras en indicadores y metodología para futuras iteraciones.  </w:t>
      </w:r>
    </w:p>
    <w:p>
      <w:r>
        <w:t xml:space="preserve">Realizar el análisis estadístico agregado.  </w:t>
      </w:r>
    </w:p>
    <w:p>
      <w:r>
        <w:rPr>
          <w:b/>
        </w:rPr>
        <w:t>Punto de contacto en cada entidad (CISO u homólogo):</w:t>
      </w:r>
      <w:r>
        <w:t xml:space="preserve"> </w:t>
      </w:r>
    </w:p>
    <w:p>
      <w:r>
        <w:t xml:space="preserve">Validar las respuestas antes de su envío.  </w:t>
      </w:r>
    </w:p>
    <w:p>
      <w:r>
        <w:rPr>
          <w:b/>
        </w:rPr>
        <w:t>Comité asesor técnico: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5. Diseño del cuestionario</w:t>
      </w:r>
    </w:p>
    <w:p>
      <w:pPr>
        <w:pStyle w:val="Heading3"/>
        <w:keepNext/>
        <w:keepLines/>
      </w:pPr>
      <w:r>
        <w:t>5.1. Estructura por bloques</w:t>
      </w:r>
    </w:p>
    <w:p>
      <w:r>
        <w:t>El cuestionario se organiza en los bloques descritos en el Modelo de Encuesta:</w:t>
      </w:r>
    </w:p>
    <w:p>
      <w:pPr>
        <w:pStyle w:val="ListNumber"/>
        <w:keepLines w:val="1"/>
        <w:keepNext w:val="1"/>
        <w:widowControl w:val="1"/>
      </w:pPr>
      <w:r>
        <w:t xml:space="preserve">Contexto de la entidad.  </w:t>
      </w:r>
    </w:p>
    <w:p>
      <w:pPr>
        <w:pStyle w:val="ListNumber"/>
        <w:keepLines w:val="1"/>
        <w:keepNext w:val="1"/>
        <w:widowControl w:val="1"/>
      </w:pPr>
      <w:r>
        <w:t xml:space="preserve">Gobernanza y CIFs.  </w:t>
      </w:r>
    </w:p>
    <w:p>
      <w:pPr>
        <w:pStyle w:val="ListNumber"/>
        <w:keepLines w:val="1"/>
        <w:keepNext w:val="1"/>
        <w:widowControl w:val="1"/>
      </w:pPr>
      <w:r>
        <w:t xml:space="preserve">Inteligencia de amenazas.  </w:t>
      </w:r>
    </w:p>
    <w:p>
      <w:pPr>
        <w:pStyle w:val="ListNumber"/>
        <w:keepLines w:val="1"/>
        <w:keepNext w:val="1"/>
        <w:widowControl w:val="1"/>
      </w:pPr>
      <w:r>
        <w:t xml:space="preserve">Red Team y escenarios.  </w:t>
      </w:r>
    </w:p>
    <w:p>
      <w:pPr>
        <w:pStyle w:val="ListNumber"/>
        <w:keepLines w:val="1"/>
        <w:keepNext w:val="1"/>
        <w:widowControl w:val="1"/>
      </w:pPr>
      <w:r>
        <w:t xml:space="preserve">Detección y respuesta.  </w:t>
      </w:r>
    </w:p>
    <w:p>
      <w:pPr>
        <w:pStyle w:val="ListNumber"/>
        <w:keepLines w:val="1"/>
        <w:keepNext w:val="1"/>
        <w:widowControl w:val="1"/>
      </w:pPr>
      <w:r>
        <w:t xml:space="preserve">Purple teaming, remediación y aprendizaje.  </w:t>
      </w:r>
    </w:p>
    <w:p>
      <w:pPr>
        <w:pStyle w:val="ListNumber"/>
        <w:keepLines w:val="1"/>
        <w:keepNext w:val="1"/>
        <w:widowControl w:val="1"/>
      </w:pPr>
      <w:r>
        <w:t xml:space="preserve">Relación con supervisores y terceros.  </w:t>
      </w:r>
    </w:p>
    <w:p>
      <w:pPr>
        <w:pStyle w:val="ListNumber"/>
        <w:keepLines w:val="1"/>
        <w:widowControl w:val="1"/>
      </w:pPr>
      <w:r>
        <w:t>Indicadores internos y ROI.</w:t>
      </w:r>
    </w:p>
    <w:p>
      <w:pPr>
        <w:pStyle w:val="Heading3"/>
        <w:keepNext/>
        <w:keepLines/>
      </w:pPr>
      <w:r>
        <w:t>5.2. Tipos de preguntas</w:t>
      </w:r>
    </w:p>
    <w:p>
      <w:pPr>
        <w:pStyle w:val="ListBullet"/>
        <w:keepLines w:val="1"/>
        <w:keepNext w:val="1"/>
        <w:widowControl w:val="1"/>
      </w:pPr>
      <w:r>
        <w:t xml:space="preserve">Preguntas cerradas de selección única o múltiple.  </w:t>
      </w:r>
    </w:p>
    <w:p>
      <w:pPr>
        <w:pStyle w:val="ListBullet"/>
        <w:keepLines w:val="1"/>
        <w:keepNext w:val="1"/>
        <w:widowControl w:val="1"/>
      </w:pPr>
      <w:r>
        <w:t xml:space="preserve">Escalas de Likert 0–5 para madurez.  </w:t>
      </w:r>
    </w:p>
    <w:p>
      <w:pPr>
        <w:pStyle w:val="ListBullet"/>
        <w:keepLines w:val="1"/>
        <w:widowControl w:val="1"/>
      </w:pPr>
      <w:r>
        <w:t xml:space="preserve">Preguntas abiertas breves para recoger matices cualitativos.  </w:t>
      </w:r>
    </w:p>
    <w:p>
      <w:r>
        <w:t>Todas las preguntas están redactadas para minimizar juicios de valor explícitos, aunque se admite un leve tono irónico para fomentar respuestas honestas y reflexivas.</w:t>
      </w:r>
    </w:p>
    <w:p>
      <w:pPr>
        <w:pStyle w:val="Heading3"/>
        <w:keepNext/>
        <w:keepLines/>
      </w:pPr>
      <w:r>
        <w:t>5.3. Validación y prueba piloto</w:t>
      </w:r>
    </w:p>
    <w:p>
      <w:pPr>
        <w:pStyle w:val="ListBullet"/>
        <w:keepLines w:val="1"/>
        <w:keepNext w:val="1"/>
        <w:widowControl w:val="1"/>
      </w:pPr>
      <w:r>
        <w:t xml:space="preserve">Se recomienda una prueba piloto con 5–10 entidades representativas.  </w:t>
      </w:r>
    </w:p>
    <w:p>
      <w:pPr>
        <w:pStyle w:val="ListBullet"/>
        <w:keepLines w:val="1"/>
        <w:keepNext w:val="1"/>
        <w:widowControl w:val="1"/>
      </w:pPr>
      <w:r>
        <w:t xml:space="preserve">Dar feedback estructurado sobre:  </w:t>
      </w:r>
    </w:p>
    <w:p>
      <w:pPr>
        <w:pStyle w:val="ListBullet"/>
        <w:keepLines w:val="1"/>
        <w:keepNext w:val="1"/>
        <w:widowControl w:val="1"/>
      </w:pPr>
      <w:r>
        <w:t xml:space="preserve">Claridad de la redacción.  </w:t>
      </w:r>
    </w:p>
    <w:p>
      <w:pPr>
        <w:pStyle w:val="ListBullet"/>
        <w:keepLines w:val="1"/>
        <w:keepNext w:val="1"/>
        <w:widowControl w:val="1"/>
      </w:pPr>
      <w:r>
        <w:t xml:space="preserve">Tiempo de cumplimentación.  </w:t>
      </w:r>
    </w:p>
    <w:p>
      <w:pPr>
        <w:pStyle w:val="ListBullet"/>
        <w:keepLines w:val="1"/>
        <w:keepNext w:val="1"/>
        <w:widowControl w:val="1"/>
      </w:pPr>
      <w:r>
        <w:t xml:space="preserve">Disponibilidad real de los datos solicitados.  </w:t>
      </w:r>
    </w:p>
    <w:p>
      <w:pPr>
        <w:pStyle w:val="ListBullet"/>
        <w:keepLines w:val="1"/>
        <w:widowControl w:val="1"/>
      </w:pPr>
      <w:r>
        <w:t>Ajustar la encuesta tras el piloto antes del despliegue masivo.</w:t>
      </w:r>
    </w:p>
    <w:p>
      <w:pPr>
        <w:pStyle w:val="Heading2"/>
        <w:keepNext/>
        <w:keepLines/>
      </w:pPr>
      <w:r>
        <w:rPr>
          <w:color w:val="0066CC"/>
        </w:rPr>
        <w:t>6. Administración de la encuesta</w:t>
      </w:r>
    </w:p>
    <w:p>
      <w:pPr>
        <w:pStyle w:val="Heading3"/>
        <w:keepNext/>
        <w:keepLines/>
      </w:pPr>
      <w:r>
        <w:t>6.1. Canal y formato</w:t>
      </w:r>
    </w:p>
    <w:p>
      <w:pPr>
        <w:pStyle w:val="ListBullet"/>
        <w:keepLines w:val="1"/>
        <w:keepNext w:val="1"/>
        <w:widowControl w:val="1"/>
      </w:pPr>
      <w:r>
        <w:t xml:space="preserve">Preferentemente, una plataforma online segura (HTTPS, autenticación robusta).  </w:t>
      </w:r>
    </w:p>
    <w:p>
      <w:pPr>
        <w:pStyle w:val="ListBullet"/>
        <w:keepLines w:val="1"/>
        <w:keepNext w:val="1"/>
        <w:widowControl w:val="1"/>
      </w:pPr>
      <w:r>
        <w:t xml:space="preserve">Posibilidad de versión offline en formato .xlsx o .docx si fuese necesario.  </w:t>
      </w:r>
    </w:p>
    <w:p>
      <w:pPr>
        <w:pStyle w:val="ListBullet"/>
        <w:keepLines w:val="1"/>
        <w:widowControl w:val="1"/>
      </w:pPr>
      <w:r>
        <w:t>Cada entidad debe tener un identificador interno para los análisis agregados.</w:t>
      </w:r>
    </w:p>
    <w:p>
      <w:pPr>
        <w:pStyle w:val="Heading3"/>
        <w:keepNext/>
        <w:keepLines/>
      </w:pPr>
      <w:r>
        <w:t>6.2. Plazos</w:t>
      </w:r>
    </w:p>
    <w:p>
      <w:pPr>
        <w:pStyle w:val="ListBullet"/>
        <w:keepLines w:val="1"/>
        <w:keepNext w:val="1"/>
        <w:widowControl w:val="1"/>
      </w:pPr>
      <w:r>
        <w:t xml:space="preserve">Plazo de cumplimentación recomendado: 4–6 semanas.  </w:t>
      </w:r>
    </w:p>
    <w:p>
      <w:pPr>
        <w:pStyle w:val="ListBullet"/>
        <w:keepLines w:val="1"/>
        <w:keepNext w:val="1"/>
        <w:widowControl w:val="1"/>
      </w:pPr>
      <w:r>
        <w:t xml:space="preserve">Recordatorios periódicos (al menos dos) a puntos de contacto.  </w:t>
      </w:r>
    </w:p>
    <w:p>
      <w:pPr>
        <w:pStyle w:val="ListBullet"/>
        <w:keepLines w:val="1"/>
        <w:widowControl w:val="1"/>
      </w:pPr>
      <w:r>
        <w:t>Posible extensión del plazo en función del nivel de respuesta.</w:t>
      </w:r>
    </w:p>
    <w:p>
      <w:pPr>
        <w:pStyle w:val="Heading3"/>
        <w:keepNext/>
        <w:keepLines/>
      </w:pPr>
      <w:r>
        <w:t>6.3. Confidencialidad y uso de los datos</w:t>
      </w:r>
    </w:p>
    <w:p>
      <w:pPr>
        <w:pStyle w:val="ListBullet"/>
        <w:keepLines w:val="1"/>
        <w:keepNext w:val="1"/>
        <w:widowControl w:val="1"/>
      </w:pPr>
      <w:r>
        <w:t xml:space="preserve">Fijar contractualmente el uso de los datos:  </w:t>
      </w:r>
    </w:p>
    <w:p>
      <w:pPr>
        <w:pStyle w:val="ListBullet"/>
        <w:keepLines w:val="1"/>
        <w:keepNext w:val="1"/>
        <w:widowControl w:val="1"/>
      </w:pPr>
      <w:r>
        <w:t xml:space="preserve">Análisis agregado y anonimizado.  </w:t>
      </w:r>
    </w:p>
    <w:p>
      <w:pPr>
        <w:pStyle w:val="ListBullet"/>
        <w:keepLines w:val="1"/>
        <w:keepNext w:val="1"/>
        <w:widowControl w:val="1"/>
      </w:pPr>
      <w:r>
        <w:t xml:space="preserve">Prohibición de publicar resultados identificables sin consentimiento.  </w:t>
      </w:r>
    </w:p>
    <w:p>
      <w:pPr>
        <w:pStyle w:val="ListBullet"/>
        <w:keepLines w:val="1"/>
        <w:widowControl w:val="1"/>
      </w:pPr>
      <w:r>
        <w:t>Explicar claramente que el objetivo es la mejora colectiva, no la clasificación pública de “ganadores” y “perdedores”.</w:t>
      </w:r>
    </w:p>
    <w:p>
      <w:pPr>
        <w:pStyle w:val="Heading2"/>
        <w:keepNext/>
        <w:keepLines/>
      </w:pPr>
      <w:r>
        <w:rPr>
          <w:color w:val="0066CC"/>
        </w:rPr>
        <w:t>7. Cálculo de indicadores y del Índice Global de Madurez (IGM)</w:t>
      </w:r>
    </w:p>
    <w:p>
      <w:pPr>
        <w:pStyle w:val="Heading3"/>
        <w:keepNext/>
        <w:keepLines/>
      </w:pPr>
      <w:r>
        <w:t>7.1. Dimensiones del IGM</w:t>
      </w:r>
    </w:p>
    <w:p>
      <w:r>
        <w:t>El IGM se estructura en al menos cinco dimensiones:</w:t>
      </w:r>
    </w:p>
    <w:p>
      <w:pPr>
        <w:pStyle w:val="ListNumber"/>
        <w:keepLines w:val="1"/>
        <w:keepNext w:val="1"/>
        <w:widowControl w:val="1"/>
      </w:pPr>
      <w:r>
        <w:t xml:space="preserve">Gobernanza y CIFs (GOV). </w:t>
      </w:r>
    </w:p>
    <w:p>
      <w:pPr>
        <w:pStyle w:val="ListNumber"/>
        <w:keepLines w:val="1"/>
        <w:keepNext w:val="1"/>
        <w:widowControl w:val="1"/>
      </w:pPr>
      <w:r>
        <w:t xml:space="preserve">Inteligencia de amenazas (TI). </w:t>
      </w:r>
    </w:p>
    <w:p>
      <w:pPr>
        <w:pStyle w:val="ListNumber"/>
        <w:keepLines w:val="1"/>
        <w:keepNext w:val="1"/>
        <w:widowControl w:val="1"/>
      </w:pPr>
      <w:r>
        <w:t xml:space="preserve">Capacidades de Red Team y escenarios (RT). </w:t>
      </w:r>
    </w:p>
    <w:p>
      <w:pPr>
        <w:pStyle w:val="ListNumber"/>
        <w:keepLines w:val="1"/>
        <w:keepNext w:val="1"/>
        <w:widowControl w:val="1"/>
      </w:pPr>
      <w:r>
        <w:t xml:space="preserve">Detección y respuesta (BLUE). </w:t>
      </w:r>
    </w:p>
    <w:p>
      <w:pPr>
        <w:pStyle w:val="ListNumber"/>
        <w:keepLines w:val="1"/>
        <w:widowControl w:val="1"/>
      </w:pPr>
      <w:r>
        <w:t>Purple teaming, remediación y aprendizaje (PRP).</w:t>
      </w:r>
    </w:p>
    <w:p>
      <w:r>
        <w:t>Cada dimensión se alimenta de un subconjunto de preguntas de la encuesta.</w:t>
      </w:r>
    </w:p>
    <w:p>
      <w:pPr>
        <w:pStyle w:val="Heading3"/>
        <w:keepNext/>
        <w:keepLines/>
      </w:pPr>
      <w:r>
        <w:t>7.2. Escalado y normalización</w:t>
      </w:r>
    </w:p>
    <w:p>
      <w:pPr>
        <w:pStyle w:val="ListBullet"/>
        <w:keepLines w:val="1"/>
        <w:keepNext w:val="1"/>
        <w:widowControl w:val="1"/>
      </w:pPr>
      <w:r>
        <w:t xml:space="preserve">Las preguntas en escala 0–5 se utilizan directamente.  </w:t>
      </w:r>
    </w:p>
    <w:p>
      <w:pPr>
        <w:pStyle w:val="ListBullet"/>
        <w:keepLines w:val="1"/>
        <w:keepNext w:val="1"/>
        <w:widowControl w:val="1"/>
      </w:pPr>
      <w:r>
        <w:t xml:space="preserve">Las preguntas categóricas se asignan a valores 0–5 según criterios predefinidos (descritos en la Plantilla Excel de IGM y ROI).  </w:t>
      </w:r>
    </w:p>
    <w:p>
      <w:pPr>
        <w:pStyle w:val="ListBullet"/>
        <w:keepLines w:val="1"/>
        <w:keepNext w:val="1"/>
        <w:widowControl w:val="1"/>
      </w:pPr>
      <w:r>
        <w:br/>
        <w:t>Las preguntas cuantitativas (porcentajes, MTTD/MTTR) se transforman en puntuaciones mediante tramos:</w:t>
        <w:br/>
      </w:r>
    </w:p>
    <w:p>
      <w:pPr>
        <w:pStyle w:val="ListBullet"/>
        <w:keepLines w:val="1"/>
        <w:widowControl w:val="1"/>
      </w:pPr>
      <w:r>
        <w:br/>
        <w:t xml:space="preserve">Ejemplo MTTD:  </w:t>
        <w:br/>
        <w:br/>
        <w:t xml:space="preserve">&lt; 1 h → 5  </w:t>
        <w:br/>
        <w:t xml:space="preserve">1–24 h → 4  </w:t>
        <w:br/>
        <w:t xml:space="preserve">1–7 días → 3  </w:t>
        <w:br/>
        <w:br/>
        <w:br/>
        <w:t xml:space="preserve">7 días → 2  </w:t>
        <w:br/>
        <w:br/>
        <w:br/>
        <w:t xml:space="preserve">No detectado → 0  </w:t>
        <w:br/>
        <w:br/>
      </w:r>
    </w:p>
    <w:p>
      <w:r>
        <w:t>Las preguntas cuantitativas (porcentajes, MTTD/MTTR) se transforman en puntuaciones mediante tramos:</w:t>
      </w:r>
    </w:p>
    <w:p>
      <w:r>
        <w:t xml:space="preserve">Ejemplo MTTD:  </w:t>
      </w:r>
    </w:p>
    <w:p>
      <w:pPr>
        <w:pStyle w:val="ListBullet"/>
        <w:keepLines w:val="1"/>
        <w:keepNext w:val="1"/>
        <w:widowControl w:val="1"/>
      </w:pPr>
      <w:r>
        <w:t xml:space="preserve">&lt; 1 h → 5  </w:t>
      </w:r>
    </w:p>
    <w:p>
      <w:pPr>
        <w:pStyle w:val="ListBullet"/>
        <w:keepLines w:val="1"/>
        <w:keepNext w:val="1"/>
        <w:widowControl w:val="1"/>
      </w:pPr>
      <w:r>
        <w:t xml:space="preserve">1–24 h → 4  </w:t>
      </w:r>
    </w:p>
    <w:p>
      <w:pPr>
        <w:pStyle w:val="ListBullet"/>
        <w:keepLines w:val="1"/>
        <w:keepNext w:val="1"/>
        <w:widowControl w:val="1"/>
      </w:pPr>
      <w:r>
        <w:t xml:space="preserve">1–7 días → 3  </w:t>
      </w:r>
    </w:p>
    <w:p>
      <w:pPr>
        <w:pStyle w:val="ListBullet"/>
        <w:keepLines w:val="1"/>
        <w:keepNext w:val="1"/>
        <w:widowControl w:val="1"/>
      </w:pPr>
      <w:r>
        <w:br/>
        <w:br/>
        <w:t xml:space="preserve">7 días → 2  </w:t>
        <w:br/>
        <w:br/>
      </w:r>
    </w:p>
    <w:p>
      <w:pPr>
        <w:pStyle w:val="ListBullet"/>
        <w:keepLines w:val="1"/>
        <w:widowControl w:val="1"/>
      </w:pPr>
      <w:r>
        <w:t xml:space="preserve">No detectado → 0  </w:t>
      </w:r>
    </w:p>
    <w:p>
      <w:r>
        <w:t xml:space="preserve">7 días → 2  </w:t>
      </w:r>
    </w:p>
    <w:p>
      <w:pPr>
        <w:pStyle w:val="Heading3"/>
        <w:keepNext/>
        <w:keepLines/>
      </w:pPr>
      <w:r>
        <w:t>7.3. Agregación</w:t>
      </w:r>
    </w:p>
    <w:p>
      <w:r>
        <w:t>Para cada entidad:</w:t>
      </w:r>
    </w:p>
    <w:p>
      <w:pPr>
        <w:pStyle w:val="ListBullet"/>
        <w:keepLines w:val="1"/>
        <w:keepNext w:val="1"/>
        <w:widowControl w:val="1"/>
      </w:pPr>
      <w:r>
        <w:t xml:space="preserve">Calcular la media (o mediana) de las puntuaciones normalizadas de cada dimensión.  </w:t>
      </w:r>
    </w:p>
    <w:p>
      <w:pPr>
        <w:pStyle w:val="ListBullet"/>
        <w:keepLines w:val="1"/>
        <w:widowControl w:val="1"/>
      </w:pPr>
      <w:r>
        <w:t>Calcular el IGM total como media ponderada de dimensiones:</w:t>
      </w:r>
    </w:p>
    <w:p>
      <w:r>
        <w:t>[</w:t>
      </w:r>
      <w:r/>
      <w:r>
        <w:br/>
        <w:t>IGM = \sum_{d} w_d \cdot score_d</w:t>
      </w:r>
      <w:r/>
      <w:r>
        <w:br/>
        <w:t>]</w:t>
      </w:r>
    </w:p>
    <w:p>
      <w:r>
        <w:t>Donde (w_d) son los pesos de cada dimensión (por defecto, iguales).</w:t>
      </w:r>
    </w:p>
    <w:p>
      <w:pPr>
        <w:pStyle w:val="Heading3"/>
        <w:keepNext/>
        <w:keepLines/>
      </w:pPr>
      <w:r>
        <w:t>7.4. Interpretación</w:t>
      </w:r>
    </w:p>
    <w:p>
      <w:pPr>
        <w:pStyle w:val="ListBullet"/>
        <w:keepLines w:val="1"/>
        <w:keepNext w:val="1"/>
        <w:widowControl w:val="1"/>
      </w:pPr>
      <w:r>
        <w:t xml:space="preserve">IGM &lt; 2: zona de riesgo crítico (baja madurez).  </w:t>
      </w:r>
    </w:p>
    <w:p>
      <w:pPr>
        <w:pStyle w:val="ListBullet"/>
        <w:keepLines w:val="1"/>
        <w:keepNext w:val="1"/>
        <w:widowControl w:val="1"/>
      </w:pPr>
      <w:r>
        <w:t xml:space="preserve">2 ≤ IGM &lt; 3: madurez básica, con brechas relevantes.  </w:t>
      </w:r>
    </w:p>
    <w:p>
      <w:pPr>
        <w:pStyle w:val="ListBullet"/>
        <w:keepLines w:val="1"/>
        <w:keepNext w:val="1"/>
        <w:widowControl w:val="1"/>
      </w:pPr>
      <w:r>
        <w:t xml:space="preserve">3 ≤ IGM &lt; 4: madurez razonable, TIBER aprovechado.  </w:t>
      </w:r>
    </w:p>
    <w:p>
      <w:pPr>
        <w:pStyle w:val="ListBullet"/>
        <w:keepLines w:val="1"/>
        <w:widowControl w:val="1"/>
      </w:pPr>
      <w:r>
        <w:t>4 ≤ IGM ≤ 5: alta madurez, referente sectorial.</w:t>
      </w:r>
    </w:p>
    <w:p>
      <w:r>
        <w:t>Estas bandas son orientativas y pueden adaptarse.</w:t>
      </w:r>
    </w:p>
    <w:p>
      <w:pPr>
        <w:pStyle w:val="Heading2"/>
        <w:keepNext/>
        <w:keepLines/>
      </w:pPr>
      <w:r>
        <w:rPr>
          <w:color w:val="0066CC"/>
        </w:rPr>
        <w:t>8. Estimación de ROI</w:t>
      </w:r>
    </w:p>
    <w:p>
      <w:r>
        <w:t>La plantilla Excel propone:</w:t>
      </w:r>
    </w:p>
    <w:p>
      <w:pPr>
        <w:pStyle w:val="ListBullet"/>
        <w:keepLines w:val="1"/>
        <w:keepNext w:val="1"/>
        <w:widowControl w:val="1"/>
      </w:pPr>
      <w:r>
        <w:t xml:space="preserve">Estimar costes directos e indirectos de un ejercicio TIBER (contratación TI/RTT, horas internas, etc.).  </w:t>
      </w:r>
    </w:p>
    <w:p>
      <w:pPr>
        <w:pStyle w:val="ListBullet"/>
        <w:keepLines w:val="1"/>
        <w:keepNext w:val="1"/>
        <w:widowControl w:val="1"/>
      </w:pPr>
      <w:r>
        <w:t xml:space="preserve">Estimar beneficios esperados en términos de:  </w:t>
      </w:r>
    </w:p>
    <w:p>
      <w:pPr>
        <w:pStyle w:val="ListBullet"/>
        <w:keepLines w:val="1"/>
        <w:keepNext w:val="1"/>
        <w:widowControl w:val="1"/>
      </w:pPr>
      <w:r>
        <w:t xml:space="preserve">Reducción de probabilidad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Reducción del impacto esperado (económico, reputacional, regulatorio).  </w:t>
      </w:r>
    </w:p>
    <w:p>
      <w:pPr>
        <w:pStyle w:val="ListBullet"/>
        <w:keepLines w:val="1"/>
        <w:widowControl w:val="1"/>
      </w:pPr>
      <w:r>
        <w:t>Cumplimiento de DORA/TLPT (evitar sanciones, restricciones, etc.).</w:t>
      </w:r>
    </w:p>
    <w:p>
      <w:r>
        <w:t>El ROI se calcula como:</w:t>
      </w:r>
    </w:p>
    <w:p>
      <w:r>
        <w:t>[</w:t>
      </w:r>
      <w:r/>
      <w:r>
        <w:br/>
        <w:t>ROI = \frac{Beneficios_esperados - Costes}{Costes}</w:t>
      </w:r>
      <w:r/>
      <w:r>
        <w:br/>
        <w:t>]</w:t>
      </w:r>
    </w:p>
    <w:p>
      <w:r>
        <w:t>La guía recomienda no obsesionarse con la exactitud milimétrica, sino con la coherencia interna y la comparabilidad entre entidades.</w:t>
      </w:r>
    </w:p>
    <w:p>
      <w:pPr>
        <w:pStyle w:val="Heading2"/>
        <w:keepNext/>
        <w:keepLines/>
      </w:pPr>
      <w:r>
        <w:rPr>
          <w:color w:val="0066CC"/>
        </w:rPr>
        <w:t>9. Análisis y reporte</w:t>
      </w:r>
    </w:p>
    <w:p>
      <w:pPr>
        <w:pStyle w:val="Heading3"/>
        <w:keepNext/>
        <w:keepLines/>
      </w:pPr>
      <w:r>
        <w:t>9.1. Análisis cuantitativo</w:t>
      </w:r>
    </w:p>
    <w:p>
      <w:pPr>
        <w:pStyle w:val="ListBullet"/>
        <w:keepLines w:val="1"/>
        <w:keepNext w:val="1"/>
        <w:widowControl w:val="1"/>
      </w:pPr>
      <w:r>
        <w:t xml:space="preserve">Distribuciones de IGM y de cada dimensión.  </w:t>
      </w:r>
    </w:p>
    <w:p>
      <w:pPr>
        <w:pStyle w:val="ListBullet"/>
        <w:keepLines w:val="1"/>
        <w:keepNext w:val="1"/>
        <w:widowControl w:val="1"/>
      </w:pPr>
      <w:r>
        <w:t xml:space="preserve">Comparaciones por subsector, tamaño, tipo de entidad.  </w:t>
      </w:r>
    </w:p>
    <w:p>
      <w:pPr>
        <w:pStyle w:val="ListBullet"/>
        <w:keepLines w:val="1"/>
        <w:widowControl w:val="1"/>
      </w:pPr>
      <w:r>
        <w:t>Correlaciones exploratorias (por ejemplo, entre uso de TTIR y MTTD).</w:t>
      </w:r>
    </w:p>
    <w:p>
      <w:pPr>
        <w:pStyle w:val="Heading3"/>
        <w:keepNext/>
        <w:keepLines/>
      </w:pPr>
      <w:r>
        <w:t>9.2. Análisis cualitativo</w:t>
      </w:r>
    </w:p>
    <w:p>
      <w:pPr>
        <w:pStyle w:val="ListBullet"/>
        <w:keepLines w:val="1"/>
        <w:keepNext w:val="1"/>
        <w:widowControl w:val="1"/>
      </w:pPr>
      <w:r>
        <w:t xml:space="preserve">Categorización de respuestas abiertas en temas recurrentes.  </w:t>
      </w:r>
    </w:p>
    <w:p>
      <w:pPr>
        <w:pStyle w:val="ListBullet"/>
        <w:keepLines w:val="1"/>
        <w:widowControl w:val="1"/>
      </w:pPr>
      <w:r>
        <w:t xml:space="preserve">Identificación de casos de buenas prácticas destacables.  </w:t>
      </w:r>
    </w:p>
    <w:p>
      <w:pPr>
        <w:pStyle w:val="Heading3"/>
        <w:keepNext/>
        <w:keepLines/>
      </w:pPr>
      <w:r>
        <w:t>9.3. Reporte</w:t>
      </w:r>
    </w:p>
    <w:p>
      <w:pPr>
        <w:pStyle w:val="ListBullet"/>
        <w:keepLines w:val="1"/>
        <w:keepNext w:val="1"/>
        <w:widowControl w:val="1"/>
      </w:pPr>
      <w:r>
        <w:t xml:space="preserve">Uso de la Plantilla de Reporte Ejecutivo para presentación a:  </w:t>
      </w:r>
    </w:p>
    <w:p>
      <w:pPr>
        <w:pStyle w:val="ListBullet"/>
        <w:keepLines w:val="1"/>
        <w:keepNext w:val="1"/>
        <w:widowControl w:val="1"/>
      </w:pPr>
      <w:r>
        <w:t xml:space="preserve">Autoridades.  </w:t>
      </w:r>
    </w:p>
    <w:p>
      <w:pPr>
        <w:pStyle w:val="ListBullet"/>
        <w:keepLines w:val="1"/>
        <w:keepNext w:val="1"/>
        <w:widowControl w:val="1"/>
      </w:pPr>
      <w:r>
        <w:t xml:space="preserve">Asociaciones sectoriales.  </w:t>
      </w:r>
    </w:p>
    <w:p>
      <w:pPr>
        <w:pStyle w:val="ListBullet"/>
        <w:keepLines w:val="1"/>
        <w:widowControl w:val="1"/>
      </w:pPr>
      <w:r>
        <w:t>Foros de CISOs.</w:t>
      </w:r>
    </w:p>
    <w:p>
      <w:pPr>
        <w:pStyle w:val="Heading2"/>
        <w:keepNext/>
        <w:keepLines/>
      </w:pPr>
      <w:r>
        <w:rPr>
          <w:color w:val="0066CC"/>
        </w:rPr>
        <w:t>10. Revisión y actualización</w:t>
      </w:r>
    </w:p>
    <w:p>
      <w:r>
        <w:t>Dado que TIBER‑EU y DORA pueden actualizarse, se recomienda:</w:t>
      </w:r>
    </w:p>
    <w:p>
      <w:pPr>
        <w:pStyle w:val="ListBullet"/>
        <w:keepLines w:val="1"/>
        <w:keepNext w:val="1"/>
        <w:widowControl w:val="1"/>
      </w:pPr>
      <w:r>
        <w:t xml:space="preserve">Revisar la encuesta y esta guía al menos cada dos años.  </w:t>
      </w:r>
    </w:p>
    <w:p>
      <w:pPr>
        <w:pStyle w:val="ListBullet"/>
        <w:keepLines w:val="1"/>
        <w:widowControl w:val="1"/>
      </w:pPr>
      <w:r>
        <w:t>Ajustar las preguntas y mapeos normativos para incorporar cambios regulatorios y de buenas prácticas.</w:t>
      </w:r>
    </w:p>
    <w:p>
      <w:r>
        <w:rPr>
          <w:i/>
        </w:rPr>
        <w:t>Fin de la Guía Metodológica Detallada.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