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</w:t>
      </w:r>
    </w:p>
    <w:p>
      <w:pPr>
        <w:pStyle w:val="Heading2"/>
        <w:keepNext/>
        <w:keepLines/>
      </w:pPr>
      <w:r>
        <w:rPr>
          <w:color w:val="0066CC"/>
        </w:rPr>
        <w:t>Diseño lógico para implementación en Excel/LibreOffice</w:t>
      </w:r>
    </w:p>
    <w:p>
      <w:pPr>
        <w:pStyle w:val="Heading2"/>
        <w:keepNext/>
        <w:keepLines/>
      </w:pPr>
      <w:r>
        <w:rPr>
          <w:color w:val="0066CC"/>
        </w:rPr>
        <w:t>1. Estructura de la hoja de cálculo</w:t>
      </w:r>
    </w:p>
    <w:p>
      <w:r>
        <w:t>Se propone un libro con las siguientes hojas:</w:t>
      </w:r>
    </w:p>
    <w:p>
      <w:pPr>
        <w:pStyle w:val="ListNumber"/>
        <w:keepLines w:val="1"/>
        <w:keepNext w:val="1"/>
        <w:widowControl w:val="1"/>
      </w:pPr>
      <w:r>
        <w:t xml:space="preserve">DatosEncuesta – Respuestas crudas por entidad.  </w:t>
      </w:r>
    </w:p>
    <w:p>
      <w:pPr>
        <w:pStyle w:val="ListNumber"/>
        <w:keepLines w:val="1"/>
        <w:keepNext w:val="1"/>
        <w:widowControl w:val="1"/>
      </w:pPr>
      <w:r>
        <w:t xml:space="preserve">Codificacion – Tablas de mapeo de respuestas a valores 0–5.  </w:t>
      </w:r>
    </w:p>
    <w:p>
      <w:pPr>
        <w:pStyle w:val="ListNumber"/>
        <w:keepLines w:val="1"/>
        <w:keepNext w:val="1"/>
        <w:widowControl w:val="1"/>
      </w:pPr>
      <w:r>
        <w:t xml:space="preserve">IGM_Entidad – Cálculo del Índice Global de Madurez por entidad.  </w:t>
      </w:r>
    </w:p>
    <w:p>
      <w:pPr>
        <w:pStyle w:val="ListNumber"/>
        <w:keepLines w:val="1"/>
        <w:keepNext w:val="1"/>
        <w:widowControl w:val="1"/>
      </w:pPr>
      <w:r>
        <w:t xml:space="preserve">IGM_Sector – Agregados sectoriales.  </w:t>
      </w:r>
    </w:p>
    <w:p>
      <w:pPr>
        <w:pStyle w:val="ListNumber"/>
        <w:keepLines w:val="1"/>
        <w:widowControl w:val="1"/>
      </w:pPr>
      <w:r>
        <w:t xml:space="preserve">ROI_TIBER – Estimación de ROI.  </w:t>
      </w:r>
    </w:p>
    <w:p>
      <w:pPr>
        <w:pStyle w:val="Heading2"/>
        <w:keepNext/>
        <w:keepLines/>
      </w:pPr>
      <w:r>
        <w:rPr>
          <w:color w:val="0066CC"/>
        </w:rPr>
        <w:t>2. Hoja DatosEncuesta</w:t>
      </w:r>
    </w:p>
    <w:p>
      <w:pPr>
        <w:pStyle w:val="Heading3"/>
        <w:keepNext/>
        <w:keepLines/>
      </w:pPr>
      <w:r>
        <w:t>2.1. Columnas básicas</w:t>
      </w:r>
    </w:p>
    <w:p>
      <w:pPr>
        <w:pStyle w:val="ListBullet"/>
        <w:keepLines w:val="1"/>
        <w:keepNext w:val="1"/>
        <w:widowControl w:val="1"/>
      </w:pPr>
      <w:r>
        <w:t xml:space="preserve">Entidad_ID – Código anonimizado de la entidad.  </w:t>
      </w:r>
    </w:p>
    <w:p>
      <w:pPr>
        <w:pStyle w:val="ListBullet"/>
        <w:keepLines w:val="1"/>
        <w:keepNext w:val="1"/>
        <w:widowControl w:val="1"/>
      </w:pPr>
      <w:r>
        <w:t xml:space="preserve">Subsector – Banca, seguros, mercado, proveedor, etc.  </w:t>
      </w:r>
    </w:p>
    <w:p>
      <w:pPr>
        <w:pStyle w:val="ListBullet"/>
        <w:keepLines w:val="1"/>
        <w:widowControl w:val="1"/>
      </w:pPr>
      <w:r>
        <w:t xml:space="preserve">Tamano – Muy grande/Grande/Mediana/Pequeña.  </w:t>
      </w:r>
    </w:p>
    <w:p>
      <w:pPr>
        <w:pStyle w:val="Heading3"/>
        <w:keepNext/>
        <w:keepLines/>
      </w:pPr>
      <w:r>
        <w:t>2.2. Columnas por pregunta</w:t>
      </w:r>
    </w:p>
    <w:p>
      <w:r>
        <w:t>Una columna por cada ID de pregunta del modelo de encuesta, por ejemplo:</w:t>
      </w:r>
    </w:p>
    <w:p>
      <w:pPr>
        <w:pStyle w:val="ListBullet"/>
        <w:keepLines w:val="1"/>
        <w:keepNext w:val="1"/>
        <w:widowControl w:val="1"/>
      </w:pPr>
      <w:r>
        <w:t xml:space="preserve">P2_1 – Inventario formal de CIFs (categoría textual).  </w:t>
      </w:r>
    </w:p>
    <w:p>
      <w:pPr>
        <w:pStyle w:val="ListBullet"/>
        <w:keepLines w:val="1"/>
        <w:keepNext w:val="1"/>
        <w:widowControl w:val="1"/>
      </w:pPr>
      <w:r>
        <w:t xml:space="preserve">P2_2 – Madurez CIFs (0–5).  </w:t>
      </w:r>
    </w:p>
    <w:p>
      <w:pPr>
        <w:pStyle w:val="ListBullet"/>
        <w:keepLines w:val="1"/>
        <w:keepNext w:val="1"/>
        <w:widowControl w:val="1"/>
      </w:pPr>
      <w:r>
        <w:t xml:space="preserve">P2_4 – Banda de % CIFs cubiertas.  </w:t>
      </w:r>
    </w:p>
    <w:p>
      <w:pPr>
        <w:pStyle w:val="ListBullet"/>
        <w:keepLines w:val="1"/>
        <w:keepNext w:val="1"/>
        <w:widowControl w:val="1"/>
      </w:pPr>
      <w:r>
        <w:t xml:space="preserve">P3_3 – Alineamiento TTIR (0–5).  </w:t>
      </w:r>
    </w:p>
    <w:p>
      <w:pPr>
        <w:pStyle w:val="ListBullet"/>
        <w:keepLines w:val="1"/>
        <w:keepNext w:val="1"/>
        <w:widowControl w:val="1"/>
      </w:pPr>
      <w:r>
        <w:t xml:space="preserve">P5_2 – Categoría MTTD.  </w:t>
      </w:r>
    </w:p>
    <w:p>
      <w:pPr>
        <w:pStyle w:val="ListBullet"/>
        <w:keepLines w:val="1"/>
        <w:keepNext w:val="1"/>
        <w:widowControl w:val="1"/>
      </w:pPr>
      <w:r>
        <w:t xml:space="preserve">P5_3 – Categoría MTTR.  </w:t>
      </w:r>
    </w:p>
    <w:p>
      <w:pPr>
        <w:pStyle w:val="ListBullet"/>
        <w:keepLines w:val="1"/>
        <w:keepNext w:val="1"/>
        <w:widowControl w:val="1"/>
      </w:pPr>
      <w:r>
        <w:t xml:space="preserve">P6_3 – % recomendaciones críticas implementadas.  </w:t>
      </w:r>
    </w:p>
    <w:p>
      <w:pPr>
        <w:pStyle w:val="ListBullet"/>
        <w:keepLines w:val="1"/>
        <w:widowControl w:val="1"/>
      </w:pPr>
      <w:r>
        <w:t>etc.</w:t>
      </w:r>
    </w:p>
    <w:p>
      <w:r>
        <w:t>Las respuestas abiertas pueden almacenarse, pero no se utilizan para los cálculos automáticos.</w:t>
      </w:r>
    </w:p>
    <w:p>
      <w:pPr>
        <w:pStyle w:val="Heading2"/>
        <w:keepNext/>
        <w:keepLines/>
      </w:pPr>
      <w:r>
        <w:rPr>
          <w:color w:val="0066CC"/>
        </w:rPr>
        <w:t>3. Hoja Codificacion</w:t>
      </w:r>
    </w:p>
    <w:p>
      <w:pPr>
        <w:pStyle w:val="Heading3"/>
        <w:keepNext/>
        <w:keepLines/>
      </w:pPr>
      <w:r>
        <w:t>3.1. Mapas de categorías a valores</w:t>
      </w:r>
    </w:p>
    <w:p>
      <w:r>
        <w:t xml:space="preserve">Ejemplo de tabla para </w:t>
      </w:r>
      <w:r>
        <w:rPr>
          <w:rFonts w:ascii="Courier New" w:hAnsi="Courier New"/>
          <w:sz w:val="18"/>
        </w:rPr>
        <w:t>P2_4</w:t>
      </w:r>
      <w:r>
        <w:t xml:space="preserve"> (cobertura CIFs):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Categoria_P2_4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Valor_P2_4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0–20 %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21–40 %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41–60 %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61–80 %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&gt;80 %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5</w:t>
            </w:r>
          </w:p>
        </w:tc>
      </w:tr>
    </w:tbl>
    <w:p/>
    <w:p>
      <w:r>
        <w:t>Ejemplo para categorías de MTTD (</w:t>
      </w:r>
      <w:r>
        <w:rPr>
          <w:rFonts w:ascii="Courier New" w:hAnsi="Courier New"/>
          <w:sz w:val="18"/>
        </w:rPr>
        <w:t>P5_2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Categoria_P5_2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Valor_P5_2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&lt; 1 h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1–24 h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1–7 días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&gt; 7 días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No detectado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0</w:t>
            </w:r>
          </w:p>
        </w:tc>
      </w:tr>
    </w:tbl>
    <w:p/>
    <w:p>
      <w:r>
        <w:t>Cada categoría de pregunta se mapea a un valor numérico 0–5.</w:t>
      </w:r>
    </w:p>
    <w:p>
      <w:pPr>
        <w:pStyle w:val="Heading3"/>
        <w:keepNext/>
        <w:keepLines/>
      </w:pPr>
      <w:r>
        <w:t>3.2. Fórmula tipo</w:t>
      </w:r>
    </w:p>
    <w:p>
      <w:r>
        <w:t xml:space="preserve">En </w:t>
      </w:r>
      <w:r>
        <w:rPr>
          <w:rFonts w:ascii="Courier New" w:hAnsi="Courier New"/>
          <w:sz w:val="18"/>
        </w:rPr>
        <w:t>IGM_Entidad</w:t>
      </w:r>
      <w:r>
        <w:t>, para obtener el valor numérico, se usará una búsqueda: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=BUSCARV(DatosEncuesta!C2; Codificacion!A:B; 2; FALSO)</w:t>
        <w:br/>
      </w:r>
    </w:p>
    <w:p>
      <w:r>
        <w:t>(Adaptar rangos y funciones según idioma/configuración de Excel.)</w:t>
      </w:r>
    </w:p>
    <w:p>
      <w:pPr>
        <w:pStyle w:val="Heading2"/>
        <w:keepNext/>
        <w:keepLines/>
      </w:pPr>
      <w:r>
        <w:rPr>
          <w:color w:val="0066CC"/>
        </w:rPr>
        <w:t>4. Hoja IGM_Entidad</w:t>
      </w:r>
    </w:p>
    <w:p>
      <w:pPr>
        <w:pStyle w:val="Heading3"/>
        <w:keepNext/>
        <w:keepLines/>
      </w:pPr>
      <w:r>
        <w:t>4.1. Dimensiones</w:t>
      </w:r>
    </w:p>
    <w:p>
      <w:r>
        <w:t>Para cada entidad (fila), se definen columnas:</w:t>
      </w:r>
    </w:p>
    <w:p>
      <w:pPr>
        <w:pStyle w:val="ListBullet"/>
        <w:keepLines w:val="1"/>
        <w:keepNext w:val="1"/>
        <w:widowControl w:val="1"/>
      </w:pPr>
      <w:r>
        <w:t xml:space="preserve">GOV – Gobernanza y CIFs.  </w:t>
      </w:r>
    </w:p>
    <w:p>
      <w:pPr>
        <w:pStyle w:val="ListBullet"/>
        <w:keepLines w:val="1"/>
        <w:keepNext w:val="1"/>
        <w:widowControl w:val="1"/>
      </w:pPr>
      <w:r>
        <w:t xml:space="preserve">TI – Inteligencia de amenazas.  </w:t>
      </w:r>
    </w:p>
    <w:p>
      <w:pPr>
        <w:pStyle w:val="ListBullet"/>
        <w:keepLines w:val="1"/>
        <w:keepNext w:val="1"/>
        <w:widowControl w:val="1"/>
      </w:pPr>
      <w:r>
        <w:t xml:space="preserve">RT – Red Team y escenarios.  </w:t>
      </w:r>
    </w:p>
    <w:p>
      <w:pPr>
        <w:pStyle w:val="ListBullet"/>
        <w:keepLines w:val="1"/>
        <w:keepNext w:val="1"/>
        <w:widowControl w:val="1"/>
      </w:pPr>
      <w:r>
        <w:t xml:space="preserve">BLUE – Detección y respuesta.  </w:t>
      </w:r>
    </w:p>
    <w:p>
      <w:pPr>
        <w:pStyle w:val="ListBullet"/>
        <w:keepLines w:val="1"/>
        <w:keepNext w:val="1"/>
        <w:widowControl w:val="1"/>
      </w:pPr>
      <w:r>
        <w:t xml:space="preserve">PRP – Purple teaming y remediación.  </w:t>
      </w:r>
    </w:p>
    <w:p>
      <w:pPr>
        <w:pStyle w:val="ListBullet"/>
        <w:keepLines w:val="1"/>
        <w:widowControl w:val="1"/>
      </w:pPr>
      <w:r>
        <w:t>IGM_Total – Índice Global de Madurez.</w:t>
      </w:r>
    </w:p>
    <w:p>
      <w:pPr>
        <w:pStyle w:val="Heading3"/>
        <w:keepNext/>
        <w:keepLines/>
      </w:pPr>
      <w:r>
        <w:t>4.2. Cálculo por dimensión</w:t>
      </w:r>
    </w:p>
    <w:p>
      <w:r>
        <w:t xml:space="preserve">Ejemplo de cálculo de </w:t>
      </w:r>
      <w:r>
        <w:rPr>
          <w:rFonts w:ascii="Courier New" w:hAnsi="Courier New"/>
          <w:sz w:val="18"/>
        </w:rPr>
        <w:t>GOV</w:t>
      </w:r>
      <w:r>
        <w:t>:</w:t>
      </w:r>
    </w:p>
    <w:p>
      <w:pPr>
        <w:pStyle w:val="ListBullet"/>
        <w:keepLines w:val="1"/>
        <w:widowControl w:val="1"/>
      </w:pPr>
      <w:r>
        <w:t xml:space="preserve">GOV = media de valores numéricos asociados a: P2_1, P2_2, P2_3, P2_4, P2_6, P6_5.  </w:t>
      </w:r>
    </w:p>
    <w:p>
      <w:r>
        <w:t>En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=PROMEDIO(SI.ERROR({Valor_P2_1;Valor_P2_2;Valor_P2_3;Valor_P2_4;Valor_P2_6;Valor_P6_5}; ""))</w:t>
        <w:br/>
      </w:r>
    </w:p>
    <w:p>
      <w:r>
        <w:t>(Usar celdas concretas según diseño; se pueden emplear rangos nombrados.)</w:t>
      </w:r>
    </w:p>
    <w:p>
      <w:pPr>
        <w:pStyle w:val="Heading3"/>
        <w:keepNext/>
        <w:keepLines/>
      </w:pPr>
      <w:r>
        <w:t>4.3. Cálculo del IGM total</w:t>
      </w:r>
    </w:p>
    <w:p>
      <w:r>
        <w:t>Asumiendo pesos iguales: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 PROMEDIO(GOV; TI; RT; BLUE; PRP)</w:t>
        <w:br/>
      </w:r>
    </w:p>
    <w:p>
      <w:r>
        <w:t>Si se desean pesos distintos: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 (GOV*Peso_GOV + TI*Peso_TI + RT*Peso_RT + BLUE*Peso_BLUE + PRP*Peso_PRP) / SOMA_PESOS</w:t>
        <w:br/>
      </w:r>
    </w:p>
    <w:p>
      <w:r>
        <w:t>Donde los pesos se definen en una pequeña tabla (por ejemplo, todos = 1).</w:t>
      </w:r>
    </w:p>
    <w:p>
      <w:pPr>
        <w:pStyle w:val="Heading2"/>
        <w:keepNext/>
        <w:keepLines/>
      </w:pPr>
      <w:r>
        <w:rPr>
          <w:color w:val="0066CC"/>
        </w:rPr>
        <w:t>5. Hoja IGM_Sector</w:t>
      </w:r>
    </w:p>
    <w:p>
      <w:pPr>
        <w:pStyle w:val="Heading3"/>
        <w:keepNext/>
        <w:keepLines/>
      </w:pPr>
      <w:r>
        <w:t>5.1. Estadísticos básicos</w:t>
      </w:r>
    </w:p>
    <w:p>
      <w:pPr>
        <w:pStyle w:val="ListBullet"/>
        <w:keepLines w:val="1"/>
        <w:keepNext w:val="1"/>
        <w:widowControl w:val="1"/>
      </w:pPr>
      <w:r>
        <w:t xml:space="preserve">Media, mediana, desviación estándar para cada dimensión y para IGM_Total.  </w:t>
      </w:r>
    </w:p>
    <w:p>
      <w:pPr>
        <w:pStyle w:val="ListBullet"/>
        <w:keepLines w:val="1"/>
        <w:widowControl w:val="1"/>
      </w:pPr>
      <w:r>
        <w:t>Desglose por subsector y tamaño usando tablas dinámicas.</w:t>
      </w:r>
    </w:p>
    <w:p>
      <w:pPr>
        <w:pStyle w:val="Heading3"/>
        <w:keepNext/>
        <w:keepLines/>
      </w:pPr>
      <w:r>
        <w:t>5.2. Gráficos sugeridos</w:t>
      </w:r>
    </w:p>
    <w:p>
      <w:pPr>
        <w:pStyle w:val="ListBullet"/>
        <w:keepLines w:val="1"/>
        <w:keepNext w:val="1"/>
        <w:widowControl w:val="1"/>
      </w:pPr>
      <w:r>
        <w:t xml:space="preserve">Diagrama de caja (boxplot) de IGM por subsector.  </w:t>
      </w:r>
    </w:p>
    <w:p>
      <w:pPr>
        <w:pStyle w:val="ListBullet"/>
        <w:keepLines w:val="1"/>
        <w:keepNext w:val="1"/>
        <w:widowControl w:val="1"/>
      </w:pPr>
      <w:r>
        <w:t xml:space="preserve">Gráfico radar por dimensión para entidades representativas.  </w:t>
      </w:r>
    </w:p>
    <w:p>
      <w:pPr>
        <w:pStyle w:val="ListBullet"/>
        <w:keepLines w:val="1"/>
        <w:widowControl w:val="1"/>
      </w:pPr>
      <w:r>
        <w:t>Gráfico de barras apiladas de % CIFs cubiertas.</w:t>
      </w:r>
    </w:p>
    <w:p>
      <w:pPr>
        <w:pStyle w:val="Heading2"/>
        <w:keepNext/>
        <w:keepLines/>
      </w:pPr>
      <w:r>
        <w:rPr>
          <w:color w:val="0066CC"/>
        </w:rPr>
        <w:t>6. Hoja ROI_TIBER</w:t>
      </w:r>
    </w:p>
    <w:p>
      <w:pPr>
        <w:pStyle w:val="Heading3"/>
        <w:keepNext/>
        <w:keepLines/>
      </w:pPr>
      <w:r>
        <w:t>6.1. Datos de entrada</w:t>
      </w:r>
    </w:p>
    <w:p>
      <w:r>
        <w:t>Por entidad:</w:t>
      </w:r>
    </w:p>
    <w:p>
      <w:pPr>
        <w:pStyle w:val="ListBullet"/>
        <w:keepLines w:val="1"/>
        <w:keepNext w:val="1"/>
        <w:widowControl w:val="1"/>
      </w:pPr>
      <w:r>
        <w:t xml:space="preserve">Coste_TIBER – Coste total del ejercicio (monetario).  </w:t>
      </w:r>
    </w:p>
    <w:p>
      <w:pPr>
        <w:pStyle w:val="ListBullet"/>
        <w:keepLines w:val="1"/>
        <w:keepNext w:val="1"/>
        <w:widowControl w:val="1"/>
      </w:pPr>
      <w:r>
        <w:t xml:space="preserve">Desglose: coste proveedor TI, coste RTT, horas internas estimadas, otros.  </w:t>
      </w:r>
    </w:p>
    <w:p>
      <w:pPr>
        <w:pStyle w:val="ListBullet"/>
        <w:keepLines w:val="1"/>
        <w:keepNext w:val="1"/>
        <w:widowControl w:val="1"/>
      </w:pPr>
      <w:r>
        <w:t xml:space="preserve">Reduccion_Probabilidad – Estimación (%) de reducción en probabilidad de incidentes graves gracias a TIBER.  </w:t>
      </w:r>
    </w:p>
    <w:p>
      <w:pPr>
        <w:pStyle w:val="ListBullet"/>
        <w:keepLines w:val="1"/>
        <w:keepNext w:val="1"/>
        <w:widowControl w:val="1"/>
      </w:pPr>
      <w:r>
        <w:t xml:space="preserve">Reduccion_Impacto – Estimación (%) de reducción en impacto medio (económico) de incidentes.  </w:t>
      </w:r>
    </w:p>
    <w:p>
      <w:pPr>
        <w:pStyle w:val="ListBullet"/>
        <w:keepLines w:val="1"/>
        <w:widowControl w:val="1"/>
      </w:pPr>
      <w:r>
        <w:t xml:space="preserve">Riesgo_Base – Estimación del riesgo anual esperado antes de TIBER (en unidades monetarias).  </w:t>
      </w:r>
    </w:p>
    <w:p>
      <w:pPr>
        <w:pStyle w:val="Heading3"/>
        <w:keepNext/>
        <w:keepLines/>
      </w:pPr>
      <w:r>
        <w:t>6.2. Cálculos</w:t>
      </w:r>
    </w:p>
    <w:p>
      <w:pPr>
        <w:pStyle w:val="ListNumber"/>
        <w:keepLines w:val="1"/>
        <w:widowControl w:val="1"/>
      </w:pPr>
      <w:r>
        <w:t>Riesgo Esperado tras TIBER: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 Riesgo_Base * (1 - Reduccion_Probabilidad) * (1 - Reduccion_Impacto)</w:t>
        <w:br/>
      </w:r>
    </w:p>
    <w:p>
      <w:pPr>
        <w:pStyle w:val="ListNumber"/>
        <w:keepLines w:val="1"/>
        <w:widowControl w:val="1"/>
      </w:pPr>
      <w:r>
        <w:t>Beneficio Esperado: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 Riesgo_Base - Riesgo_Esperado_tras_TIBER</w:t>
        <w:br/>
      </w:r>
    </w:p>
    <w:p>
      <w:pPr>
        <w:pStyle w:val="ListNumber"/>
        <w:keepLines w:val="1"/>
        <w:widowControl w:val="1"/>
      </w:pPr>
      <w:r>
        <w:t>ROI: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 (Beneficio_Esperado - Coste_TIBER) / Coste_TIBER</w:t>
        <w:br/>
      </w:r>
    </w:p>
    <w:p>
      <w:pPr>
        <w:pStyle w:val="Heading3"/>
        <w:keepNext/>
        <w:keepLines/>
      </w:pPr>
      <w:r>
        <w:t>6.3. Interpretación</w:t>
      </w:r>
    </w:p>
    <w:p>
      <w:pPr>
        <w:pStyle w:val="ListBullet"/>
        <w:keepLines w:val="1"/>
        <w:keepNext w:val="1"/>
        <w:widowControl w:val="1"/>
      </w:pPr>
      <w:r>
        <w:t xml:space="preserve">ROI &gt; 0: beneficios estimados &gt; costes.  </w:t>
      </w:r>
    </w:p>
    <w:p>
      <w:pPr>
        <w:pStyle w:val="ListBullet"/>
        <w:keepLines w:val="1"/>
        <w:keepNext w:val="1"/>
        <w:widowControl w:val="1"/>
      </w:pPr>
      <w:r>
        <w:t xml:space="preserve">ROI entre 0 y -0,5: mejora relevante pero costosa; revisar supuestos.  </w:t>
      </w:r>
    </w:p>
    <w:p>
      <w:pPr>
        <w:pStyle w:val="ListBullet"/>
        <w:keepLines w:val="1"/>
        <w:widowControl w:val="1"/>
      </w:pPr>
      <w:r>
        <w:t>ROI &lt; -0,5: probablemente se están infravalorando beneficios o sobrevalorando costes (o la ejecución del ejercicio fue poco provechosa).</w:t>
      </w:r>
    </w:p>
    <w:p>
      <w:r>
        <w:rPr>
          <w:i/>
        </w:rPr>
        <w:t>Fin de la Plantilla Excel lógica.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