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en PowerPoint</w:t>
      </w:r>
    </w:p>
    <w:p>
      <w:pPr>
        <w:pStyle w:val="Heading2"/>
        <w:keepNext/>
        <w:keepLines/>
      </w:pPr>
      <w:r>
        <w:rPr>
          <w:color w:val="0066CC"/>
        </w:rPr>
        <w:t>Resultados Encuesta TIBER‑EU / TIBER‑ES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“Ciberresiliencia bajo ataque: Resultados de la Encuesta TIBER‑ES” </w:t>
      </w:r>
    </w:p>
    <w:p>
      <w:pPr>
        <w:pStyle w:val="ListBullet"/>
        <w:keepLines w:val="1"/>
        <w:keepNext w:val="1"/>
        <w:widowControl w:val="1"/>
      </w:pPr>
      <w:r>
        <w:t xml:space="preserve">Subtítulo: Año, versión, organismo coordinador.  </w:t>
      </w:r>
    </w:p>
    <w:p>
      <w:pPr>
        <w:pStyle w:val="ListBullet"/>
        <w:keepLines w:val="1"/>
        <w:widowControl w:val="1"/>
      </w:pPr>
      <w:r>
        <w:t>Elementos: logotipos relevantes, nombre del ponente.</w:t>
      </w:r>
    </w:p>
    <w:p>
      <w:pPr>
        <w:pStyle w:val="Heading2"/>
        <w:keepNext/>
        <w:keepLines/>
      </w:pPr>
      <w:r>
        <w:rPr>
          <w:color w:val="0066CC"/>
        </w:rPr>
        <w:t>Diapositiva 2 – Mensaje clave</w:t>
      </w:r>
    </w:p>
    <w:p>
      <w:pPr>
        <w:pStyle w:val="ListBullet"/>
        <w:keepLines w:val="1"/>
        <w:keepNext w:val="1"/>
        <w:widowControl w:val="1"/>
      </w:pPr>
      <w:r>
        <w:t xml:space="preserve">Título: “Tres ideas antes de empezar” </w:t>
      </w:r>
    </w:p>
    <w:p>
      <w:pPr>
        <w:pStyle w:val="ListBullet"/>
        <w:keepLines w:val="1"/>
        <w:keepNext w:val="1"/>
        <w:widowControl w:val="1"/>
      </w:pPr>
      <w:r>
        <w:t xml:space="preserve">Contenido (viñetas breves):  </w:t>
      </w:r>
    </w:p>
    <w:p>
      <w:pPr>
        <w:pStyle w:val="ListBullet"/>
        <w:keepLines w:val="1"/>
        <w:keepNext w:val="1"/>
        <w:widowControl w:val="1"/>
      </w:pPr>
      <w:r>
        <w:t xml:space="preserve">El sector ha avanzado, pero de forma desigual.  </w:t>
      </w:r>
    </w:p>
    <w:p>
      <w:pPr>
        <w:pStyle w:val="ListBullet"/>
        <w:keepLines w:val="1"/>
        <w:keepNext w:val="1"/>
        <w:widowControl w:val="1"/>
      </w:pPr>
      <w:r>
        <w:t xml:space="preserve">TIBER‑ES marca una diferencia real donde se aplica con rigor.  </w:t>
      </w:r>
    </w:p>
    <w:p>
      <w:pPr>
        <w:pStyle w:val="ListBullet"/>
        <w:keepLines w:val="1"/>
        <w:widowControl w:val="1"/>
      </w:pPr>
      <w:r>
        <w:t>Los datos no son para señalar, sino para mejorar.</w:t>
      </w:r>
    </w:p>
    <w:p>
      <w:pPr>
        <w:pStyle w:val="Heading2"/>
        <w:keepNext/>
        <w:keepLines/>
      </w:pPr>
      <w:r>
        <w:rPr>
          <w:color w:val="0066CC"/>
        </w:rPr>
        <w:t>Diapositiva 3 – Metodología</w:t>
      </w:r>
    </w:p>
    <w:p>
      <w:pPr>
        <w:pStyle w:val="ListBullet"/>
        <w:keepLines w:val="1"/>
        <w:keepNext w:val="1"/>
        <w:widowControl w:val="1"/>
      </w:pPr>
      <w:r>
        <w:t xml:space="preserve">Título: “Cómo se hizo la encuesta” </w:t>
      </w:r>
    </w:p>
    <w:p>
      <w:pPr>
        <w:pStyle w:val="ListBullet"/>
        <w:keepLines w:val="1"/>
        <w:keepNext w:val="1"/>
        <w:widowControl w:val="1"/>
      </w:pPr>
      <w:r>
        <w:t xml:space="preserve">Contenido:  </w:t>
      </w:r>
    </w:p>
    <w:p>
      <w:pPr>
        <w:pStyle w:val="ListBullet"/>
        <w:keepLines w:val="1"/>
        <w:keepNext w:val="1"/>
        <w:widowControl w:val="1"/>
      </w:pPr>
      <w:r>
        <w:t xml:space="preserve">Población y muestra (nº de entidades, cobertura por subsector).  </w:t>
      </w:r>
    </w:p>
    <w:p>
      <w:pPr>
        <w:pStyle w:val="ListBullet"/>
        <w:keepLines w:val="1"/>
        <w:keepNext w:val="1"/>
        <w:widowControl w:val="1"/>
      </w:pPr>
      <w:r>
        <w:t xml:space="preserve">Periodo de recogida de datos.  </w:t>
      </w:r>
    </w:p>
    <w:p>
      <w:pPr>
        <w:pStyle w:val="ListBullet"/>
        <w:keepLines w:val="1"/>
        <w:keepNext w:val="1"/>
        <w:widowControl w:val="1"/>
      </w:pPr>
      <w:r>
        <w:t xml:space="preserve">Referencias normativas (TIBER‑EU 2025, TIBER‑ES, DORA/TLPT).  </w:t>
      </w:r>
    </w:p>
    <w:p>
      <w:pPr>
        <w:pStyle w:val="ListBullet"/>
        <w:keepLines w:val="1"/>
        <w:widowControl w:val="1"/>
      </w:pPr>
      <w:r>
        <w:t>Gráfico sugerido: esquema simple del proceso (diseño → piloto → despliegue → análisis).</w:t>
      </w:r>
    </w:p>
    <w:p>
      <w:pPr>
        <w:pStyle w:val="Heading2"/>
        <w:keepNext/>
        <w:keepLines/>
      </w:pPr>
      <w:r>
        <w:rPr>
          <w:color w:val="0066CC"/>
        </w:rPr>
        <w:t>Diapositiva 4 – Perfil de las entidades participantes</w:t>
      </w:r>
    </w:p>
    <w:p>
      <w:pPr>
        <w:pStyle w:val="ListBullet"/>
        <w:keepLines w:val="1"/>
        <w:keepNext w:val="1"/>
        <w:widowControl w:val="1"/>
      </w:pPr>
      <w:r>
        <w:t xml:space="preserve">Título: “Quién ha respondido” </w:t>
      </w:r>
    </w:p>
    <w:p>
      <w:pPr>
        <w:pStyle w:val="ListBullet"/>
        <w:keepLines w:val="1"/>
        <w:keepNext w:val="1"/>
        <w:widowControl w:val="1"/>
      </w:pPr>
      <w:r>
        <w:t xml:space="preserve">Gráficos:  </w:t>
      </w:r>
    </w:p>
    <w:p>
      <w:pPr>
        <w:pStyle w:val="ListBullet"/>
        <w:keepLines w:val="1"/>
        <w:keepNext w:val="1"/>
        <w:widowControl w:val="1"/>
      </w:pPr>
      <w:r>
        <w:t xml:space="preserve">Pie chart por subsector.  </w:t>
      </w:r>
    </w:p>
    <w:p>
      <w:pPr>
        <w:pStyle w:val="ListBullet"/>
        <w:keepLines w:val="1"/>
        <w:widowControl w:val="1"/>
      </w:pPr>
      <w:r>
        <w:t xml:space="preserve">Barra por tamaño (muy grandes, grandes, medianas, pequeñas).  </w:t>
      </w:r>
    </w:p>
    <w:p>
      <w:pPr>
        <w:pStyle w:val="Heading2"/>
        <w:keepNext/>
        <w:keepLines/>
      </w:pPr>
      <w:r>
        <w:rPr>
          <w:color w:val="0066CC"/>
        </w:rPr>
        <w:t>Diapositiva 5 – Índice Global de Madurez (IGM)</w:t>
      </w:r>
    </w:p>
    <w:p>
      <w:pPr>
        <w:pStyle w:val="ListBullet"/>
        <w:keepLines w:val="1"/>
        <w:keepNext w:val="1"/>
        <w:widowControl w:val="1"/>
      </w:pPr>
      <w:r>
        <w:t xml:space="preserve">Título: “Madurez TIBER‑ES: IGM sectorial” </w:t>
      </w:r>
    </w:p>
    <w:p>
      <w:pPr>
        <w:pStyle w:val="ListBullet"/>
        <w:keepLines w:val="1"/>
        <w:keepNext w:val="1"/>
        <w:widowControl w:val="1"/>
      </w:pPr>
      <w:r>
        <w:t xml:space="preserve">Gráfico:  </w:t>
      </w:r>
    </w:p>
    <w:p>
      <w:pPr>
        <w:pStyle w:val="ListBullet"/>
        <w:keepLines w:val="1"/>
        <w:keepNext w:val="1"/>
        <w:widowControl w:val="1"/>
      </w:pPr>
      <w:r>
        <w:t xml:space="preserve">Boxplot de IGM_Total por subsector.  </w:t>
      </w:r>
    </w:p>
    <w:p>
      <w:pPr>
        <w:pStyle w:val="ListBullet"/>
        <w:keepLines w:val="1"/>
        <w:keepNext w:val="1"/>
        <w:widowControl w:val="1"/>
      </w:pPr>
      <w:r>
        <w:t xml:space="preserve">Línea de referencia con valor medio sectorial.  </w:t>
      </w:r>
    </w:p>
    <w:p>
      <w:pPr>
        <w:pStyle w:val="ListBullet"/>
        <w:keepLines w:val="1"/>
        <w:widowControl w:val="1"/>
      </w:pPr>
      <w:r>
        <w:t>Mensaje clave: dónde se sitúa el sector (p. ej. “entre 2,8 y 3,4”).</w:t>
      </w:r>
    </w:p>
    <w:p>
      <w:pPr>
        <w:pStyle w:val="Heading2"/>
        <w:keepNext/>
        <w:keepLines/>
      </w:pPr>
      <w:r>
        <w:rPr>
          <w:color w:val="0066CC"/>
        </w:rPr>
        <w:t>Diapositiva 6 – Desglose por dimensiones</w:t>
      </w:r>
    </w:p>
    <w:p>
      <w:pPr>
        <w:pStyle w:val="ListBullet"/>
        <w:keepLines w:val="1"/>
        <w:keepNext w:val="1"/>
        <w:widowControl w:val="1"/>
      </w:pPr>
      <w:r>
        <w:t xml:space="preserve">Título: “¿Dónde somos más fuertes?” </w:t>
      </w:r>
    </w:p>
    <w:p>
      <w:pPr>
        <w:pStyle w:val="ListBullet"/>
        <w:keepLines w:val="1"/>
        <w:keepNext w:val="1"/>
        <w:widowControl w:val="1"/>
      </w:pPr>
      <w:r>
        <w:t xml:space="preserve">Gráfico:  </w:t>
      </w:r>
    </w:p>
    <w:p>
      <w:pPr>
        <w:pStyle w:val="ListBullet"/>
        <w:keepLines w:val="1"/>
        <w:keepNext w:val="1"/>
        <w:widowControl w:val="1"/>
      </w:pPr>
      <w:r>
        <w:t xml:space="preserve">Radar con las cinco dimensiones (GOV, TI, RT, BLUE, PRP).  </w:t>
      </w:r>
    </w:p>
    <w:p>
      <w:pPr>
        <w:pStyle w:val="ListBullet"/>
        <w:keepLines w:val="1"/>
        <w:widowControl w:val="1"/>
      </w:pPr>
      <w:r>
        <w:t>Mensaje: destacar las áreas con mayor y menor puntuación media.</w:t>
      </w:r>
    </w:p>
    <w:p>
      <w:pPr>
        <w:pStyle w:val="Heading2"/>
        <w:keepNext/>
        <w:keepLines/>
      </w:pPr>
      <w:r>
        <w:rPr>
          <w:color w:val="0066CC"/>
        </w:rPr>
        <w:t>Diapositiva 7 – Gobernanza y CIFs</w:t>
      </w:r>
    </w:p>
    <w:p>
      <w:pPr>
        <w:pStyle w:val="ListBullet"/>
        <w:keepLines w:val="1"/>
        <w:keepNext w:val="1"/>
        <w:widowControl w:val="1"/>
      </w:pPr>
      <w:r>
        <w:t xml:space="preserve">Título: “Funciones críticas: lo que decimos y lo que probamos” </w:t>
      </w:r>
    </w:p>
    <w:p>
      <w:pPr>
        <w:pStyle w:val="ListBullet"/>
        <w:keepLines w:val="1"/>
        <w:keepNext w:val="1"/>
        <w:widowControl w:val="1"/>
      </w:pPr>
      <w:r>
        <w:t xml:space="preserve">Gráficos:  </w:t>
      </w:r>
    </w:p>
    <w:p>
      <w:pPr>
        <w:pStyle w:val="ListBullet"/>
        <w:keepLines w:val="1"/>
        <w:keepNext w:val="1"/>
        <w:widowControl w:val="1"/>
      </w:pPr>
      <w:r>
        <w:t xml:space="preserve">Barra: % de entidades con inventario formal de CIFs.  </w:t>
      </w:r>
    </w:p>
    <w:p>
      <w:pPr>
        <w:pStyle w:val="ListBullet"/>
        <w:keepLines w:val="1"/>
        <w:keepNext w:val="1"/>
        <w:widowControl w:val="1"/>
      </w:pPr>
      <w:r>
        <w:t xml:space="preserve">Barra: % CIFs cubiertas por pruebas en los últimos 3 años.  </w:t>
      </w:r>
    </w:p>
    <w:p>
      <w:pPr>
        <w:pStyle w:val="ListBullet"/>
        <w:keepLines w:val="1"/>
        <w:widowControl w:val="1"/>
      </w:pPr>
      <w:r>
        <w:t>Mensaje: brecha entre identificación y cobertura efectiva.</w:t>
      </w:r>
    </w:p>
    <w:p>
      <w:pPr>
        <w:pStyle w:val="Heading2"/>
        <w:keepNext/>
        <w:keepLines/>
      </w:pPr>
      <w:r>
        <w:rPr>
          <w:color w:val="0066CC"/>
        </w:rPr>
        <w:t>Diapositiva 8 – Inteligencia de amenazas</w:t>
      </w:r>
    </w:p>
    <w:p>
      <w:pPr>
        <w:pStyle w:val="ListBullet"/>
        <w:keepLines w:val="1"/>
        <w:keepNext w:val="1"/>
        <w:widowControl w:val="1"/>
      </w:pPr>
      <w:r>
        <w:t xml:space="preserve">Título: “Del papel al SOC: GTL y TTIR” </w:t>
      </w:r>
    </w:p>
    <w:p>
      <w:pPr>
        <w:pStyle w:val="ListBullet"/>
        <w:keepLines w:val="1"/>
        <w:keepNext w:val="1"/>
        <w:widowControl w:val="1"/>
      </w:pPr>
      <w:r>
        <w:t xml:space="preserve">Gráficos:  </w:t>
      </w:r>
    </w:p>
    <w:p>
      <w:pPr>
        <w:pStyle w:val="ListBullet"/>
        <w:keepLines w:val="1"/>
        <w:keepNext w:val="1"/>
        <w:widowControl w:val="1"/>
      </w:pPr>
      <w:r>
        <w:t xml:space="preserve">Barra: % entidades que usan GTL sectorial.  </w:t>
      </w:r>
    </w:p>
    <w:p>
      <w:pPr>
        <w:pStyle w:val="ListBullet"/>
        <w:keepLines w:val="1"/>
        <w:keepNext w:val="1"/>
        <w:widowControl w:val="1"/>
      </w:pPr>
      <w:r>
        <w:t xml:space="preserve">Barra apilada: origen del TTIR (interno, externo, mixto).  </w:t>
      </w:r>
    </w:p>
    <w:p>
      <w:pPr>
        <w:pStyle w:val="ListBullet"/>
        <w:keepLines w:val="1"/>
        <w:widowControl w:val="1"/>
      </w:pPr>
      <w:r>
        <w:t>Mensaje: grado de alineamiento con amenazas observadas.</w:t>
      </w:r>
    </w:p>
    <w:p>
      <w:pPr>
        <w:pStyle w:val="Heading2"/>
        <w:keepNext/>
        <w:keepLines/>
      </w:pPr>
      <w:r>
        <w:rPr>
          <w:color w:val="0066CC"/>
        </w:rPr>
        <w:t>Diapositiva 9 – Red Team y escenarios</w:t>
      </w:r>
    </w:p>
    <w:p>
      <w:pPr>
        <w:pStyle w:val="ListBullet"/>
        <w:keepLines w:val="1"/>
        <w:keepNext w:val="1"/>
        <w:widowControl w:val="1"/>
      </w:pPr>
      <w:r>
        <w:t xml:space="preserve">Título: “Cuando el ataque está permitido” </w:t>
      </w:r>
    </w:p>
    <w:p>
      <w:pPr>
        <w:pStyle w:val="ListBullet"/>
        <w:keepLines w:val="1"/>
        <w:keepNext w:val="1"/>
        <w:widowControl w:val="1"/>
      </w:pPr>
      <w:r>
        <w:t xml:space="preserve">Gráficos:  </w:t>
      </w:r>
    </w:p>
    <w:p>
      <w:pPr>
        <w:pStyle w:val="ListBullet"/>
        <w:keepLines w:val="1"/>
        <w:keepNext w:val="1"/>
        <w:widowControl w:val="1"/>
      </w:pPr>
      <w:r>
        <w:t xml:space="preserve">Histograma de nº de escenarios por entidad.  </w:t>
      </w:r>
    </w:p>
    <w:p>
      <w:pPr>
        <w:pStyle w:val="ListBullet"/>
        <w:keepLines w:val="1"/>
        <w:keepNext w:val="1"/>
        <w:widowControl w:val="1"/>
      </w:pPr>
      <w:r>
        <w:t xml:space="preserve">Barra: % banderas logradas sin leg‑ups.  </w:t>
      </w:r>
    </w:p>
    <w:p>
      <w:pPr>
        <w:pStyle w:val="ListBullet"/>
        <w:keepLines w:val="1"/>
        <w:widowControl w:val="1"/>
      </w:pPr>
      <w:r>
        <w:t>Mensaje: calidad y ambición de los ejercicios.</w:t>
      </w:r>
    </w:p>
    <w:p>
      <w:pPr>
        <w:pStyle w:val="Heading2"/>
        <w:keepNext/>
        <w:keepLines/>
      </w:pPr>
      <w:r>
        <w:rPr>
          <w:color w:val="0066CC"/>
        </w:rPr>
        <w:t>Diapositiva 10 – Detección y respuesta</w:t>
      </w:r>
    </w:p>
    <w:p>
      <w:pPr>
        <w:pStyle w:val="ListBullet"/>
        <w:keepLines w:val="1"/>
        <w:keepNext w:val="1"/>
        <w:widowControl w:val="1"/>
      </w:pPr>
      <w:r>
        <w:t xml:space="preserve">Título: “¿Quién ve antes al atacante?” </w:t>
      </w:r>
    </w:p>
    <w:p>
      <w:pPr>
        <w:pStyle w:val="ListBullet"/>
        <w:keepLines w:val="1"/>
        <w:keepNext w:val="1"/>
        <w:widowControl w:val="1"/>
      </w:pPr>
      <w:r>
        <w:t xml:space="preserve">Gráficos:  </w:t>
      </w:r>
    </w:p>
    <w:p>
      <w:pPr>
        <w:pStyle w:val="ListBullet"/>
        <w:keepLines w:val="1"/>
        <w:keepNext w:val="1"/>
        <w:widowControl w:val="1"/>
      </w:pPr>
      <w:r>
        <w:t xml:space="preserve">Distribución de MTTD (categorías).  </w:t>
      </w:r>
    </w:p>
    <w:p>
      <w:pPr>
        <w:pStyle w:val="ListBullet"/>
        <w:keepLines w:val="1"/>
        <w:keepNext w:val="1"/>
        <w:widowControl w:val="1"/>
      </w:pPr>
      <w:r>
        <w:t xml:space="preserve">Distribución de MTTR (categorías).  </w:t>
      </w:r>
    </w:p>
    <w:p>
      <w:pPr>
        <w:pStyle w:val="ListBullet"/>
        <w:keepLines w:val="1"/>
        <w:widowControl w:val="1"/>
      </w:pPr>
      <w:r>
        <w:t>Mensaje: identificar cuellos de botella en detección/contención.</w:t>
      </w:r>
    </w:p>
    <w:p>
      <w:pPr>
        <w:pStyle w:val="Heading2"/>
        <w:keepNext/>
        <w:keepLines/>
      </w:pPr>
      <w:r>
        <w:rPr>
          <w:color w:val="0066CC"/>
        </w:rPr>
        <w:t>Diapositiva 11 – Purple teaming y remediación</w:t>
      </w:r>
    </w:p>
    <w:p>
      <w:pPr>
        <w:pStyle w:val="ListBullet"/>
        <w:keepLines w:val="1"/>
        <w:keepNext w:val="1"/>
        <w:widowControl w:val="1"/>
      </w:pPr>
      <w:r>
        <w:t xml:space="preserve">Título: “De la sorpresa al aprendizaje” </w:t>
      </w:r>
    </w:p>
    <w:p>
      <w:pPr>
        <w:pStyle w:val="ListBullet"/>
        <w:keepLines w:val="1"/>
        <w:keepNext w:val="1"/>
        <w:widowControl w:val="1"/>
      </w:pPr>
      <w:r>
        <w:t xml:space="preserve">Gráficos:  </w:t>
      </w:r>
    </w:p>
    <w:p>
      <w:pPr>
        <w:pStyle w:val="ListBullet"/>
        <w:keepLines w:val="1"/>
        <w:keepNext w:val="1"/>
        <w:widowControl w:val="1"/>
      </w:pPr>
      <w:r>
        <w:t xml:space="preserve">Barra: % entidades que realizan purple teaming.  </w:t>
      </w:r>
    </w:p>
    <w:p>
      <w:pPr>
        <w:pStyle w:val="ListBullet"/>
        <w:keepLines w:val="1"/>
        <w:keepNext w:val="1"/>
        <w:widowControl w:val="1"/>
      </w:pPr>
      <w:r>
        <w:t xml:space="preserve">Barra: % recomendaciones críticas implementadas en 12 meses.  </w:t>
      </w:r>
    </w:p>
    <w:p>
      <w:pPr>
        <w:pStyle w:val="ListBullet"/>
        <w:keepLines w:val="1"/>
        <w:widowControl w:val="1"/>
      </w:pPr>
      <w:r>
        <w:t>Mensaje: grado en que las entidades cierran el círculo.</w:t>
      </w:r>
    </w:p>
    <w:p>
      <w:pPr>
        <w:pStyle w:val="Heading2"/>
        <w:keepNext/>
        <w:keepLines/>
      </w:pPr>
      <w:r>
        <w:rPr>
          <w:color w:val="0066CC"/>
        </w:rPr>
        <w:t>Diapositiva 12 – ROI y percepción de valor</w:t>
      </w:r>
    </w:p>
    <w:p>
      <w:pPr>
        <w:pStyle w:val="ListBullet"/>
        <w:keepLines w:val="1"/>
        <w:keepNext w:val="1"/>
        <w:widowControl w:val="1"/>
      </w:pPr>
      <w:r>
        <w:t xml:space="preserve">Título: “¿Merece la pena TIBER‑ES?” </w:t>
      </w:r>
    </w:p>
    <w:p>
      <w:pPr>
        <w:pStyle w:val="ListBullet"/>
        <w:keepLines w:val="1"/>
        <w:keepNext w:val="1"/>
        <w:widowControl w:val="1"/>
      </w:pPr>
      <w:r>
        <w:t xml:space="preserve">Gráficos:  </w:t>
      </w:r>
    </w:p>
    <w:p>
      <w:pPr>
        <w:pStyle w:val="ListBullet"/>
        <w:keepLines w:val="1"/>
        <w:keepNext w:val="1"/>
        <w:widowControl w:val="1"/>
      </w:pPr>
      <w:r>
        <w:t xml:space="preserve">Boxplot de ROI estimado (cuando se disponga).  </w:t>
      </w:r>
    </w:p>
    <w:p>
      <w:pPr>
        <w:pStyle w:val="ListBullet"/>
        <w:keepLines w:val="1"/>
        <w:keepNext w:val="1"/>
        <w:widowControl w:val="1"/>
      </w:pPr>
      <w:r>
        <w:t xml:space="preserve">Barra: valoración global de utilidad (0–5).  </w:t>
      </w:r>
    </w:p>
    <w:p>
      <w:pPr>
        <w:pStyle w:val="ListBullet"/>
        <w:keepLines w:val="1"/>
        <w:widowControl w:val="1"/>
      </w:pPr>
      <w:r>
        <w:t>Mensaje: cómo perciben las entidades el equilibrio coste–beneficio.</w:t>
      </w:r>
    </w:p>
    <w:p>
      <w:pPr>
        <w:pStyle w:val="Heading2"/>
        <w:keepNext/>
        <w:keepLines/>
      </w:pPr>
      <w:r>
        <w:rPr>
          <w:color w:val="0066CC"/>
        </w:rPr>
        <w:t>Diapositiva 13 – Correlaciones interesantes</w:t>
      </w:r>
    </w:p>
    <w:p>
      <w:pPr>
        <w:pStyle w:val="ListBullet"/>
        <w:keepLines w:val="1"/>
        <w:keepNext w:val="1"/>
        <w:widowControl w:val="1"/>
      </w:pPr>
      <w:r>
        <w:t xml:space="preserve">Título: “Lo que parece ir de la mano” </w:t>
      </w:r>
    </w:p>
    <w:p>
      <w:pPr>
        <w:pStyle w:val="ListBullet"/>
        <w:keepLines w:val="1"/>
        <w:keepNext w:val="1"/>
        <w:widowControl w:val="1"/>
      </w:pPr>
      <w:r>
        <w:t xml:space="preserve">Ejemplos:  </w:t>
      </w:r>
    </w:p>
    <w:p>
      <w:pPr>
        <w:pStyle w:val="ListBullet"/>
        <w:keepLines w:val="1"/>
        <w:keepNext w:val="1"/>
        <w:widowControl w:val="1"/>
      </w:pPr>
      <w:r>
        <w:t xml:space="preserve">Gráfico de dispersión: uso intensivo de TTIR vs. MTTD.  </w:t>
      </w:r>
    </w:p>
    <w:p>
      <w:pPr>
        <w:pStyle w:val="ListBullet"/>
        <w:keepLines w:val="1"/>
        <w:keepNext w:val="1"/>
        <w:widowControl w:val="1"/>
      </w:pPr>
      <w:r>
        <w:t xml:space="preserve">Gráfico: cobertura de CIFs vs. IGM_Total.  </w:t>
      </w:r>
    </w:p>
    <w:p>
      <w:pPr>
        <w:pStyle w:val="ListBullet"/>
        <w:keepLines w:val="1"/>
        <w:widowControl w:val="1"/>
      </w:pPr>
      <w:r>
        <w:t>Mensaje: relaciones que invitan a actuar (sin caer en causalidades fáciles).</w:t>
      </w:r>
    </w:p>
    <w:p>
      <w:pPr>
        <w:pStyle w:val="Heading2"/>
        <w:keepNext/>
        <w:keepLines/>
      </w:pPr>
      <w:r>
        <w:rPr>
          <w:color w:val="0066CC"/>
        </w:rPr>
        <w:t>Diapositiva 14 – Buenas prácticas emergentes</w:t>
      </w:r>
    </w:p>
    <w:p>
      <w:pPr>
        <w:pStyle w:val="ListBullet"/>
        <w:keepLines w:val="1"/>
        <w:keepNext w:val="1"/>
        <w:widowControl w:val="1"/>
      </w:pPr>
      <w:r>
        <w:t xml:space="preserve">Título: “Lo que están haciendo los que mejor puntúan” </w:t>
      </w:r>
    </w:p>
    <w:p>
      <w:pPr>
        <w:pStyle w:val="ListBullet"/>
        <w:keepLines w:val="1"/>
        <w:keepNext w:val="1"/>
        <w:widowControl w:val="1"/>
      </w:pPr>
      <w:r>
        <w:t xml:space="preserve">Lista de 4–6 prácticas observadas, p. ej.:  </w:t>
      </w:r>
    </w:p>
    <w:p>
      <w:pPr>
        <w:pStyle w:val="ListBullet"/>
        <w:keepLines w:val="1"/>
        <w:keepNext w:val="1"/>
        <w:widowControl w:val="1"/>
      </w:pPr>
      <w:r>
        <w:t xml:space="preserve">Integrar TIBER en el ciclo regular de planificación de seguridad.  </w:t>
      </w:r>
    </w:p>
    <w:p>
      <w:pPr>
        <w:pStyle w:val="ListBullet"/>
        <w:keepLines w:val="1"/>
        <w:keepNext w:val="1"/>
        <w:widowControl w:val="1"/>
      </w:pPr>
      <w:r>
        <w:t xml:space="preserve">Envolver a proveedores críticos en escenarios desde el diseño.  </w:t>
      </w:r>
    </w:p>
    <w:p>
      <w:pPr>
        <w:pStyle w:val="ListBullet"/>
        <w:keepLines w:val="1"/>
        <w:widowControl w:val="1"/>
      </w:pPr>
      <w:r>
        <w:t>Usar los resultados para ajustar BIA y apetito de riesgo.</w:t>
      </w:r>
    </w:p>
    <w:p>
      <w:pPr>
        <w:pStyle w:val="Heading2"/>
        <w:keepNext/>
        <w:keepLines/>
      </w:pPr>
      <w:r>
        <w:rPr>
          <w:color w:val="0066CC"/>
        </w:rPr>
        <w:t>Diapositiva 15 – Recomendaciones para entidades</w:t>
      </w:r>
    </w:p>
    <w:p>
      <w:pPr>
        <w:pStyle w:val="ListBullet"/>
        <w:keepLines w:val="1"/>
        <w:keepNext w:val="1"/>
        <w:widowControl w:val="1"/>
      </w:pPr>
      <w:r>
        <w:t xml:space="preserve">Título: “Y ahora, ¿qué hacemos con todo esto?” </w:t>
      </w:r>
    </w:p>
    <w:p>
      <w:pPr>
        <w:pStyle w:val="ListBullet"/>
        <w:keepLines w:val="1"/>
        <w:keepNext w:val="1"/>
        <w:widowControl w:val="1"/>
      </w:pPr>
      <w:r>
        <w:t xml:space="preserve">Viñetas:  </w:t>
      </w:r>
    </w:p>
    <w:p>
      <w:pPr>
        <w:pStyle w:val="ListBullet"/>
        <w:keepLines w:val="1"/>
        <w:keepNext w:val="1"/>
        <w:widowControl w:val="1"/>
      </w:pPr>
      <w:r>
        <w:t xml:space="preserve">Priorizar X dimensiones.  </w:t>
      </w:r>
    </w:p>
    <w:p>
      <w:pPr>
        <w:pStyle w:val="ListBullet"/>
        <w:keepLines w:val="1"/>
        <w:keepNext w:val="1"/>
        <w:widowControl w:val="1"/>
      </w:pPr>
      <w:r>
        <w:t xml:space="preserve">Establecer objetivos concretos de IGM a 2–3 años.  </w:t>
      </w:r>
    </w:p>
    <w:p>
      <w:pPr>
        <w:pStyle w:val="ListBullet"/>
        <w:keepLines w:val="1"/>
        <w:widowControl w:val="1"/>
      </w:pPr>
      <w:r>
        <w:t>Incorporar métricas TIBER en cuadros de mando internos.</w:t>
      </w:r>
    </w:p>
    <w:p>
      <w:pPr>
        <w:pStyle w:val="Heading2"/>
        <w:keepNext/>
        <w:keepLines/>
      </w:pPr>
      <w:r>
        <w:rPr>
          <w:color w:val="0066CC"/>
        </w:rPr>
        <w:t>Diapositiva 16 – Recomendaciones para reguladores</w:t>
      </w:r>
    </w:p>
    <w:p>
      <w:pPr>
        <w:pStyle w:val="ListBullet"/>
        <w:keepLines w:val="1"/>
        <w:keepNext w:val="1"/>
        <w:widowControl w:val="1"/>
      </w:pPr>
      <w:r>
        <w:t xml:space="preserve">Título: “Qué puede cambiar en TIBER‑ES” </w:t>
      </w:r>
    </w:p>
    <w:p>
      <w:pPr>
        <w:pStyle w:val="ListBullet"/>
        <w:keepLines w:val="1"/>
        <w:keepNext w:val="1"/>
        <w:widowControl w:val="1"/>
      </w:pPr>
      <w:r>
        <w:t xml:space="preserve">Viñetas:  </w:t>
      </w:r>
    </w:p>
    <w:p>
      <w:pPr>
        <w:pStyle w:val="ListBullet"/>
        <w:keepLines w:val="1"/>
        <w:keepNext w:val="1"/>
        <w:widowControl w:val="1"/>
      </w:pPr>
      <w:r>
        <w:t xml:space="preserve">Definir objetivos mínimos de cobertura CIFs.  </w:t>
      </w:r>
    </w:p>
    <w:p>
      <w:pPr>
        <w:pStyle w:val="ListBullet"/>
        <w:keepLines w:val="1"/>
        <w:keepNext w:val="1"/>
        <w:widowControl w:val="1"/>
      </w:pPr>
      <w:r>
        <w:t xml:space="preserve">Establecer mecanismos de reconocimiento cruzado entre jurisdicciones.  </w:t>
      </w:r>
    </w:p>
    <w:p>
      <w:pPr>
        <w:pStyle w:val="ListBullet"/>
        <w:keepLines w:val="1"/>
        <w:widowControl w:val="1"/>
      </w:pPr>
      <w:r>
        <w:t>Promover ejercicios multiparte.</w:t>
      </w:r>
    </w:p>
    <w:p>
      <w:pPr>
        <w:pStyle w:val="Heading2"/>
        <w:keepNext/>
        <w:keepLines/>
      </w:pPr>
      <w:r>
        <w:rPr>
          <w:color w:val="0066CC"/>
        </w:rPr>
        <w:t>Diapositiva 17 – Próximos pasos</w:t>
      </w:r>
    </w:p>
    <w:p>
      <w:pPr>
        <w:pStyle w:val="ListBullet"/>
        <w:keepLines w:val="1"/>
        <w:keepNext w:val="1"/>
        <w:widowControl w:val="1"/>
      </w:pPr>
      <w:r>
        <w:t xml:space="preserve">Título: “De este informe al siguiente TIBER” </w:t>
      </w:r>
    </w:p>
    <w:p>
      <w:pPr>
        <w:pStyle w:val="ListBullet"/>
        <w:keepLines w:val="1"/>
        <w:keepNext w:val="1"/>
        <w:widowControl w:val="1"/>
      </w:pPr>
      <w:r>
        <w:t xml:space="preserve">Viñetas:  </w:t>
      </w:r>
    </w:p>
    <w:p>
      <w:pPr>
        <w:pStyle w:val="ListBullet"/>
        <w:keepLines w:val="1"/>
        <w:keepNext w:val="1"/>
        <w:widowControl w:val="1"/>
      </w:pPr>
      <w:r>
        <w:t xml:space="preserve">Propuesta de frecuencia de la encuesta.  </w:t>
      </w:r>
    </w:p>
    <w:p>
      <w:pPr>
        <w:pStyle w:val="ListBullet"/>
        <w:keepLines w:val="1"/>
        <w:keepNext w:val="1"/>
        <w:widowControl w:val="1"/>
      </w:pPr>
      <w:r>
        <w:t xml:space="preserve">Integración con otras iniciativas (p. ej. DORA, ciberseguro).  </w:t>
      </w:r>
    </w:p>
    <w:p>
      <w:pPr>
        <w:pStyle w:val="ListBullet"/>
        <w:keepLines w:val="1"/>
        <w:widowControl w:val="1"/>
      </w:pPr>
      <w:r>
        <w:t>Convocatoria a grupos de trabajo sectoriales.</w:t>
      </w:r>
    </w:p>
    <w:p>
      <w:pPr>
        <w:pStyle w:val="Heading2"/>
        <w:keepNext/>
        <w:keepLines/>
      </w:pPr>
      <w:r>
        <w:rPr>
          <w:color w:val="0066CC"/>
        </w:rPr>
        <w:t>Diapositiva 18 – Cierre</w:t>
      </w:r>
    </w:p>
    <w:p>
      <w:pPr>
        <w:pStyle w:val="ListBullet"/>
        <w:keepLines w:val="1"/>
        <w:keepNext w:val="1"/>
        <w:widowControl w:val="1"/>
      </w:pPr>
      <w:r>
        <w:t xml:space="preserve">Título: “Preguntas, objeciones y confesiones tardías” </w:t>
      </w:r>
    </w:p>
    <w:p>
      <w:pPr>
        <w:pStyle w:val="ListBullet"/>
        <w:keepLines w:val="1"/>
        <w:widowControl w:val="1"/>
      </w:pPr>
      <w:r>
        <w:t xml:space="preserve">Espacio para discusión y Q&amp;A.  </w:t>
      </w:r>
    </w:p>
    <w:p>
      <w:r>
        <w:rPr>
          <w:i/>
        </w:rPr>
        <w:t>Fin de la plantilla de reporte ejecutivo.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