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Aplicado a indicadores TIBER‑EU / TIBER‑ES</w:t>
      </w:r>
    </w:p>
    <w:p>
      <w:pPr>
        <w:pStyle w:val="Heading2"/>
        <w:keepNext/>
        <w:keepLines/>
      </w:pPr>
      <w:r>
        <w:rPr>
          <w:color w:val="0066CC"/>
        </w:rPr>
        <w:t>1. Objetivo del marco</w:t>
      </w:r>
    </w:p>
    <w:p>
      <w:r>
        <w:t>Articular una cadena de trazabilidad completa:</w:t>
      </w:r>
    </w:p>
    <w:p>
      <w:r>
        <w:rPr>
          <w:b/>
        </w:rPr>
        <w:t>Objetivos nacionales de ciberresiliencia</w:t>
      </w:r>
      <w:r/>
      <w:r>
        <w:br/>
        <w:t>→ Metas GQM sectoriales</w:t>
      </w:r>
      <w:r/>
      <w:r>
        <w:br/>
        <w:t>→ Preguntas GQM por dimensión TIBER</w:t>
      </w:r>
      <w:r/>
      <w:r>
        <w:br/>
        <w:t>→ Métricas técnicas concretas</w:t>
      </w:r>
      <w:r/>
      <w:r>
        <w:br/>
        <w:t>→ Evaluación PRAGMATIC de cada métrica</w:t>
      </w:r>
    </w:p>
    <w:p>
      <w:r>
        <w:t>Con ello se busca:</w:t>
      </w:r>
    </w:p>
    <w:p>
      <w:pPr>
        <w:pStyle w:val="ListBullet"/>
        <w:keepLines w:val="1"/>
        <w:keepNext w:val="1"/>
        <w:widowControl w:val="1"/>
      </w:pPr>
      <w:r>
        <w:t xml:space="preserve">Evitar indicadores “decorativos” separados de los objetivos de TIBER‑EU/TIBER‑ES y DORA.  </w:t>
      </w:r>
    </w:p>
    <w:p>
      <w:pPr>
        <w:pStyle w:val="ListBullet"/>
        <w:keepLines w:val="1"/>
        <w:keepNext w:val="1"/>
        <w:widowControl w:val="1"/>
      </w:pPr>
      <w:r>
        <w:t xml:space="preserve">Priorizar métricas con alto valor operativo y regulatorio.  </w:t>
      </w:r>
    </w:p>
    <w:p>
      <w:pPr>
        <w:pStyle w:val="ListBullet"/>
        <w:keepLines w:val="1"/>
        <w:widowControl w:val="1"/>
      </w:pPr>
      <w:r>
        <w:t>Disponer de un lenguaje común entre regulador, entidad y comunidad técnica.</w:t>
      </w:r>
    </w:p>
    <w:p>
      <w:pPr>
        <w:pStyle w:val="Heading2"/>
        <w:keepNext/>
        <w:keepLines/>
      </w:pPr>
      <w:r>
        <w:rPr>
          <w:color w:val="0066CC"/>
        </w:rPr>
        <w:t>2. Recordatorio de los componentes</w:t>
      </w:r>
    </w:p>
    <w:p>
      <w:pPr>
        <w:pStyle w:val="Heading3"/>
        <w:keepNext/>
        <w:keepLines/>
      </w:pPr>
      <w:r>
        <w:t>2.1. GQM</w:t>
      </w:r>
    </w:p>
    <w:p>
      <w:pPr>
        <w:pStyle w:val="ListBullet"/>
        <w:keepLines w:val="1"/>
        <w:keepNext w:val="1"/>
        <w:widowControl w:val="1"/>
      </w:pPr>
      <w:r>
        <w:t xml:space="preserve">Goal (Meta): declaración de alto nivel, orientada a negocio/regulador.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formulación operativa que permite evaluar el grado de consecución de la meta.  </w:t>
      </w:r>
    </w:p>
    <w:p>
      <w:pPr>
        <w:pStyle w:val="ListBullet"/>
        <w:keepLines w:val="1"/>
        <w:widowControl w:val="1"/>
      </w:pPr>
      <w:r>
        <w:t>Metric (Métrica): dato cuantitativo o cualitativo estructurado que responde a la pregunta.</w:t>
      </w:r>
    </w:p>
    <w:p>
      <w:pPr>
        <w:pStyle w:val="Heading3"/>
        <w:keepNext/>
        <w:keepLines/>
      </w:pPr>
      <w:r>
        <w:t>2.2. PRAGMATIC</w:t>
      </w:r>
    </w:p>
    <w:p>
      <w:r>
        <w:t>Cada métrica se evalúa según nueve criterios (0–5, de peor a mejor):</w:t>
      </w:r>
    </w:p>
    <w:p>
      <w:pPr>
        <w:pStyle w:val="ListNumber"/>
        <w:keepLines w:val="1"/>
        <w:keepNext w:val="1"/>
        <w:widowControl w:val="1"/>
      </w:pPr>
      <w:r>
        <w:t xml:space="preserve">Predictivo – ¿Ayuda a anticipar problemas futuros?  </w:t>
      </w:r>
    </w:p>
    <w:p>
      <w:pPr>
        <w:pStyle w:val="ListNumber"/>
        <w:keepLines w:val="1"/>
        <w:keepNext w:val="1"/>
        <w:widowControl w:val="1"/>
      </w:pPr>
      <w:r>
        <w:t xml:space="preserve">Relevante – ¿Está directamente ligada a objetivos TIBER/DORA?  </w:t>
      </w:r>
    </w:p>
    <w:p>
      <w:pPr>
        <w:pStyle w:val="ListNumber"/>
        <w:keepLines w:val="1"/>
        <w:keepNext w:val="1"/>
        <w:widowControl w:val="1"/>
      </w:pPr>
      <w:r>
        <w:t xml:space="preserve">Accionable – ¿Sugiere acciones concretas cuando empeora?  </w:t>
      </w:r>
    </w:p>
    <w:p>
      <w:pPr>
        <w:pStyle w:val="ListNumber"/>
        <w:keepLines w:val="1"/>
        <w:keepNext w:val="1"/>
        <w:widowControl w:val="1"/>
      </w:pPr>
      <w:r>
        <w:t xml:space="preserve">Genuino – ¿Mide lo que dice medir (sin proxies engañosos)?  </w:t>
      </w:r>
    </w:p>
    <w:p>
      <w:pPr>
        <w:pStyle w:val="ListNumber"/>
        <w:keepLines w:val="1"/>
        <w:keepNext w:val="1"/>
        <w:widowControl w:val="1"/>
      </w:pPr>
      <w:r>
        <w:t xml:space="preserve">Significativo – ¿Su variación es significativa, no ruido?  </w:t>
      </w:r>
    </w:p>
    <w:p>
      <w:pPr>
        <w:pStyle w:val="ListNumber"/>
        <w:keepLines w:val="1"/>
        <w:keepNext w:val="1"/>
        <w:widowControl w:val="1"/>
      </w:pPr>
      <w:r>
        <w:t xml:space="preserve">Preciso – ¿Es medible con baja ambigüedad?  </w:t>
      </w:r>
    </w:p>
    <w:p>
      <w:pPr>
        <w:pStyle w:val="ListNumber"/>
        <w:keepLines w:val="1"/>
        <w:keepNext w:val="1"/>
        <w:widowControl w:val="1"/>
      </w:pPr>
      <w:r>
        <w:t xml:space="preserve">Oportuno – ¿Está disponible con la frecuencia necesaria?  </w:t>
      </w:r>
    </w:p>
    <w:p>
      <w:pPr>
        <w:pStyle w:val="ListNumber"/>
        <w:keepLines w:val="1"/>
        <w:keepNext w:val="1"/>
        <w:widowControl w:val="1"/>
      </w:pPr>
      <w:r>
        <w:t xml:space="preserve">Independiente – ¿No es fácilmente manipulable?  </w:t>
      </w:r>
    </w:p>
    <w:p>
      <w:pPr>
        <w:pStyle w:val="ListNumber"/>
        <w:keepLines w:val="1"/>
        <w:widowControl w:val="1"/>
      </w:pPr>
      <w:r>
        <w:t>Rentable – ¿Su coste de obtención es proporcionado?</w:t>
      </w:r>
    </w:p>
    <w:p>
      <w:pPr>
        <w:pStyle w:val="Heading2"/>
        <w:keepNext/>
        <w:keepLines/>
      </w:pPr>
      <w:r>
        <w:rPr>
          <w:color w:val="0066CC"/>
        </w:rPr>
        <w:t>3. Dimensiones TIBER y metas GQM</w:t>
      </w:r>
    </w:p>
    <w:p>
      <w:r>
        <w:t>Trabajaremos con cinco dimensiones principales, alineadas con el informe de indicadores:</w:t>
      </w:r>
    </w:p>
    <w:p>
      <w:pPr>
        <w:pStyle w:val="ListNumber"/>
        <w:keepLines w:val="1"/>
        <w:keepNext w:val="1"/>
        <w:widowControl w:val="1"/>
      </w:pPr>
      <w:r>
        <w:t xml:space="preserve">Gobernanza y CIFs (GOV). </w:t>
      </w:r>
    </w:p>
    <w:p>
      <w:pPr>
        <w:pStyle w:val="ListNumber"/>
        <w:keepLines w:val="1"/>
        <w:keepNext w:val="1"/>
        <w:widowControl w:val="1"/>
      </w:pPr>
      <w:r>
        <w:t xml:space="preserve">Inteligencia de amenazas (TI). </w:t>
      </w:r>
    </w:p>
    <w:p>
      <w:pPr>
        <w:pStyle w:val="ListNumber"/>
        <w:keepLines w:val="1"/>
        <w:keepNext w:val="1"/>
        <w:widowControl w:val="1"/>
      </w:pPr>
      <w:r>
        <w:t xml:space="preserve">Red Team y escenarios (RT). </w:t>
      </w:r>
    </w:p>
    <w:p>
      <w:pPr>
        <w:pStyle w:val="ListNumber"/>
        <w:keepLines w:val="1"/>
        <w:keepNext w:val="1"/>
        <w:widowControl w:val="1"/>
      </w:pPr>
      <w:r>
        <w:t xml:space="preserve">Detección y respuesta (BLUE). </w:t>
      </w:r>
    </w:p>
    <w:p>
      <w:pPr>
        <w:pStyle w:val="ListNumber"/>
        <w:keepLines w:val="1"/>
        <w:widowControl w:val="1"/>
      </w:pPr>
      <w:r>
        <w:t>Purple teaming, remediación y aprendizaje (PRP).</w:t>
      </w:r>
    </w:p>
    <w:p>
      <w:r>
        <w:t>Para cada una se define al menos una meta GQM, un conjunto de preguntas y un subconjunto de métricas.</w:t>
      </w:r>
    </w:p>
    <w:p>
      <w:pPr>
        <w:pStyle w:val="Heading2"/>
        <w:keepNext/>
        <w:keepLines/>
      </w:pPr>
      <w:r>
        <w:rPr>
          <w:color w:val="0066CC"/>
        </w:rPr>
        <w:t>4. Ejemplo de desarrollo GQM por dimensión</w:t>
      </w:r>
    </w:p>
    <w:p>
      <w:pPr>
        <w:pStyle w:val="Heading3"/>
        <w:keepNext/>
        <w:keepLines/>
      </w:pPr>
      <w:r>
        <w:t>4.1. Dimensión GOV – Gobernanza y CIFs</w:t>
      </w:r>
    </w:p>
    <w:p>
      <w:r>
        <w:rPr>
          <w:b/>
        </w:rPr>
        <w:t>Goal GOV‑1</w:t>
      </w:r>
      <w:r/>
      <w:r>
        <w:br/>
        <w:t>Asegurar que las funciones críticas o importantes (CIFs) están correctamente identificadas, priorizadas y cubiertas por pruebas TIBER, de forma coherente con el apetito de riesgo nacional y con DORA.</w:t>
      </w:r>
    </w:p>
    <w:p>
      <w:r>
        <w:rPr>
          <w:b/>
        </w:rPr>
        <w:t>Questions principales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Q‑GOV‑1: ¿La entidad dispone de un inventario formal y actualizado de CIFs aprobado por su órgano de administración?  </w:t>
      </w:r>
    </w:p>
    <w:p>
      <w:pPr>
        <w:pStyle w:val="ListBullet"/>
        <w:keepLines w:val="1"/>
        <w:keepNext w:val="1"/>
        <w:widowControl w:val="1"/>
      </w:pPr>
      <w:r>
        <w:t xml:space="preserve">Q‑GOV‑2: ¿En qué medida las CIFs se basan en análisis de impacto de negocio (BIA)?  </w:t>
      </w:r>
    </w:p>
    <w:p>
      <w:pPr>
        <w:pStyle w:val="ListBullet"/>
        <w:keepLines w:val="1"/>
        <w:keepNext w:val="1"/>
        <w:widowControl w:val="1"/>
      </w:pPr>
      <w:r>
        <w:t xml:space="preserve">Q‑GOV‑3: ¿Qué porcentaje de CIFs ha sido cubierto por pruebas TIBER en los últimos tres años?  </w:t>
      </w:r>
    </w:p>
    <w:p>
      <w:pPr>
        <w:pStyle w:val="ListBullet"/>
        <w:keepLines w:val="1"/>
        <w:widowControl w:val="1"/>
      </w:pPr>
      <w:r>
        <w:t>Q‑GOV‑4: ¿Cuál es el grado de implicación del Consejo en la aprobación del alcance TIBER?</w:t>
      </w:r>
    </w:p>
    <w:p>
      <w:r>
        <w:rPr>
          <w:b/>
        </w:rPr>
        <w:t>Metrics asociadas (ejemplos)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M‑GOV‑1: Existencia y frecuencia de revisión del inventario de CIFs (0–5).  </w:t>
      </w:r>
    </w:p>
    <w:p>
      <w:pPr>
        <w:pStyle w:val="ListBullet"/>
        <w:keepLines w:val="1"/>
        <w:keepNext w:val="1"/>
        <w:widowControl w:val="1"/>
      </w:pPr>
      <w:r>
        <w:t xml:space="preserve">M‑GOV‑2: Porcentaje de CIFs sustentadas en BIA documentado.  </w:t>
      </w:r>
    </w:p>
    <w:p>
      <w:pPr>
        <w:pStyle w:val="ListBullet"/>
        <w:keepLines w:val="1"/>
        <w:keepNext w:val="1"/>
        <w:widowControl w:val="1"/>
      </w:pPr>
      <w:r>
        <w:t xml:space="preserve">M‑GOV‑3: Porcentaje de CIFs cubiertas por al menos una prueba TIBER en 3 años.  </w:t>
      </w:r>
    </w:p>
    <w:p>
      <w:pPr>
        <w:pStyle w:val="ListBullet"/>
        <w:keepLines w:val="1"/>
        <w:widowControl w:val="1"/>
      </w:pPr>
      <w:r>
        <w:t>M‑GOV‑4: Puntuación de implicación del Consejo (0–5).</w:t>
      </w:r>
    </w:p>
    <w:p>
      <w:pPr>
        <w:pStyle w:val="Heading3"/>
        <w:keepNext/>
        <w:keepLines/>
      </w:pPr>
      <w:r>
        <w:t>4.2. Dimensión TI – Inteligencia de amenazas</w:t>
      </w:r>
    </w:p>
    <w:p>
      <w:r>
        <w:rPr>
          <w:b/>
        </w:rPr>
        <w:t>Goal TI‑1</w:t>
      </w:r>
      <w:r/>
      <w:r>
        <w:br/>
        <w:t>Garantizar que los escenarios TIBER se basan en inteligencia de amenazas actual, específica y alineada con el perfil de riesgo nacional y sectorial.</w:t>
      </w:r>
    </w:p>
    <w:p>
      <w:r>
        <w:rPr>
          <w:b/>
        </w:rPr>
        <w:t>Questions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Q‑TI‑1: ¿Utiliza la entidad un GTL sectorial como entrada al TTIR?  </w:t>
      </w:r>
    </w:p>
    <w:p>
      <w:pPr>
        <w:pStyle w:val="ListBullet"/>
        <w:keepLines w:val="1"/>
        <w:keepNext w:val="1"/>
        <w:widowControl w:val="1"/>
      </w:pPr>
      <w:r>
        <w:t xml:space="preserve">Q‑TI‑2: ¿Cuál es la calidad y relevancia del TTIR respecto de amenazas recientes?  </w:t>
      </w:r>
    </w:p>
    <w:p>
      <w:pPr>
        <w:pStyle w:val="ListBullet"/>
        <w:keepLines w:val="1"/>
        <w:keepNext w:val="1"/>
        <w:widowControl w:val="1"/>
      </w:pPr>
      <w:r>
        <w:t xml:space="preserve">Q‑TI‑3: ¿Se actualiza el TTIR durante el test para incorporar nueva información?  </w:t>
      </w:r>
    </w:p>
    <w:p>
      <w:pPr>
        <w:pStyle w:val="ListBullet"/>
        <w:keepLines w:val="1"/>
        <w:widowControl w:val="1"/>
      </w:pPr>
      <w:r>
        <w:t>Q‑TI‑4: ¿Se integra la inteligencia del TTIR en los procesos del SOC y de gestión de riesgos?</w:t>
      </w:r>
    </w:p>
    <w:p>
      <w:r>
        <w:rPr>
          <w:b/>
        </w:rPr>
        <w:t>Metrics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M‑TI‑1: Uso de GTL sectorial (sí/no/mixto).  </w:t>
      </w:r>
    </w:p>
    <w:p>
      <w:pPr>
        <w:pStyle w:val="ListBullet"/>
        <w:keepLines w:val="1"/>
        <w:keepNext w:val="1"/>
        <w:widowControl w:val="1"/>
      </w:pPr>
      <w:r>
        <w:t xml:space="preserve">M‑TI‑2: Puntuación de alineamiento TTIR‑amenazas reales (0–5).  </w:t>
      </w:r>
    </w:p>
    <w:p>
      <w:pPr>
        <w:pStyle w:val="ListBullet"/>
        <w:keepLines w:val="1"/>
        <w:keepNext w:val="1"/>
        <w:widowControl w:val="1"/>
      </w:pPr>
      <w:r>
        <w:t xml:space="preserve">M‑TI‑3: Nº de actualizaciones del TTIR durante el test.  </w:t>
      </w:r>
    </w:p>
    <w:p>
      <w:pPr>
        <w:pStyle w:val="ListBullet"/>
        <w:keepLines w:val="1"/>
        <w:widowControl w:val="1"/>
      </w:pPr>
      <w:r>
        <w:t>M‑TI‑4: Grado de integración del TTIR en procesos internos (0–5).</w:t>
      </w:r>
    </w:p>
    <w:p>
      <w:pPr>
        <w:pStyle w:val="Heading3"/>
        <w:keepNext/>
        <w:keepLines/>
      </w:pPr>
      <w:r>
        <w:t>4.3. Dimensión RT – Red Team y escenarios</w:t>
      </w:r>
    </w:p>
    <w:p>
      <w:r>
        <w:rPr>
          <w:b/>
        </w:rPr>
        <w:t>Goal RT‑1</w:t>
      </w:r>
      <w:r/>
      <w:r>
        <w:br/>
        <w:t>Asegurar que las pruebas TIBER‑EU/TIBER‑ES exploran adecuadamente las superficies de ataque críticas con un nivel de agresividad y realismo suficiente.</w:t>
      </w:r>
    </w:p>
    <w:p>
      <w:r>
        <w:rPr>
          <w:b/>
        </w:rPr>
        <w:t>Questions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Q‑RT‑1: ¿Cuántos escenarios se diseñan y ejecutan por prueba?  </w:t>
      </w:r>
    </w:p>
    <w:p>
      <w:pPr>
        <w:pStyle w:val="ListBullet"/>
        <w:keepLines w:val="1"/>
        <w:keepNext w:val="1"/>
        <w:widowControl w:val="1"/>
      </w:pPr>
      <w:r>
        <w:t xml:space="preserve">Q‑RT‑2: ¿Cuál es la diversidad de TTPs utilizadas?  </w:t>
      </w:r>
    </w:p>
    <w:p>
      <w:pPr>
        <w:pStyle w:val="ListBullet"/>
        <w:keepLines w:val="1"/>
        <w:keepNext w:val="1"/>
        <w:widowControl w:val="1"/>
      </w:pPr>
      <w:r>
        <w:t xml:space="preserve">Q‑RT‑3: ¿Qué porcentaje de banderas se alcanza sin leg‑ups?  </w:t>
      </w:r>
    </w:p>
    <w:p>
      <w:pPr>
        <w:pStyle w:val="ListBullet"/>
        <w:keepLines w:val="1"/>
        <w:widowControl w:val="1"/>
      </w:pPr>
      <w:r>
        <w:t xml:space="preserve">Q‑RT‑4: ¿Cuál es la frecuencia y justificación de los leg‑ups?  </w:t>
      </w:r>
    </w:p>
    <w:p>
      <w:r>
        <w:rPr>
          <w:b/>
        </w:rPr>
        <w:t>Metrics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M‑RT‑1: Nº de escenarios ejecutados en la prueba.  </w:t>
      </w:r>
    </w:p>
    <w:p>
      <w:pPr>
        <w:pStyle w:val="ListBullet"/>
        <w:keepLines w:val="1"/>
        <w:keepNext w:val="1"/>
        <w:widowControl w:val="1"/>
      </w:pPr>
      <w:r>
        <w:t xml:space="preserve">M‑RT‑2: Nº de familias de TTPs empleadas.  </w:t>
      </w:r>
    </w:p>
    <w:p>
      <w:pPr>
        <w:pStyle w:val="ListBullet"/>
        <w:keepLines w:val="1"/>
        <w:keepNext w:val="1"/>
        <w:widowControl w:val="1"/>
      </w:pPr>
      <w:r>
        <w:t xml:space="preserve">M‑RT‑3: % banderas logradas sin leg‑ups.  </w:t>
      </w:r>
    </w:p>
    <w:p>
      <w:pPr>
        <w:pStyle w:val="ListBullet"/>
        <w:keepLines w:val="1"/>
        <w:widowControl w:val="1"/>
      </w:pPr>
      <w:r>
        <w:t>M‑RT‑4: Nº de leg‑ups por escenario (media).</w:t>
      </w:r>
    </w:p>
    <w:p>
      <w:pPr>
        <w:pStyle w:val="Heading3"/>
        <w:keepNext/>
        <w:keepLines/>
      </w:pPr>
      <w:r>
        <w:t>4.4. Dimensión BLUE – Detección y respuesta</w:t>
      </w:r>
    </w:p>
    <w:p>
      <w:r>
        <w:rPr>
          <w:b/>
        </w:rPr>
        <w:t>Goal BLUE‑1</w:t>
      </w:r>
      <w:r/>
      <w:r>
        <w:br/>
        <w:t>Medir y mejorar la capacidad de detección y respuesta de la entidad frente a ataques avanzados en CIFs.</w:t>
      </w:r>
    </w:p>
    <w:p>
      <w:r>
        <w:rPr>
          <w:b/>
        </w:rPr>
        <w:t>Questions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Q‑BLUE‑1: ¿Cuál es el MTTD de las actividades del RTT en escenarios críticos?  </w:t>
      </w:r>
    </w:p>
    <w:p>
      <w:pPr>
        <w:pStyle w:val="ListBullet"/>
        <w:keepLines w:val="1"/>
        <w:keepNext w:val="1"/>
        <w:widowControl w:val="1"/>
      </w:pPr>
      <w:r>
        <w:t xml:space="preserve">Q‑BLUE‑2: ¿Cuál es el MTTR desde detección hasta contención?  </w:t>
      </w:r>
    </w:p>
    <w:p>
      <w:pPr>
        <w:pStyle w:val="ListBullet"/>
        <w:keepLines w:val="1"/>
        <w:keepNext w:val="1"/>
        <w:widowControl w:val="1"/>
      </w:pPr>
      <w:r>
        <w:t xml:space="preserve">Q‑BLUE‑3: ¿Qué porcentaje de actividades del RTT es detectado en tiempo real?  </w:t>
      </w:r>
    </w:p>
    <w:p>
      <w:pPr>
        <w:pStyle w:val="ListBullet"/>
        <w:keepLines w:val="1"/>
        <w:widowControl w:val="1"/>
      </w:pPr>
      <w:r>
        <w:t>Q‑BLUE‑4: ¿Qué proporción de detecciones relevantes proviene de usuarios de negocio?</w:t>
      </w:r>
    </w:p>
    <w:p>
      <w:r>
        <w:rPr>
          <w:b/>
        </w:rPr>
        <w:t>Metrics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M‑BLUE‑1: MTTD (categorías convertibles a valores).  </w:t>
      </w:r>
    </w:p>
    <w:p>
      <w:pPr>
        <w:pStyle w:val="ListBullet"/>
        <w:keepLines w:val="1"/>
        <w:keepNext w:val="1"/>
        <w:widowControl w:val="1"/>
      </w:pPr>
      <w:r>
        <w:t xml:space="preserve">M‑BLUE‑2: MTTR (categorías).  </w:t>
      </w:r>
    </w:p>
    <w:p>
      <w:pPr>
        <w:pStyle w:val="ListBullet"/>
        <w:keepLines w:val="1"/>
        <w:keepNext w:val="1"/>
        <w:widowControl w:val="1"/>
      </w:pPr>
      <w:r>
        <w:t xml:space="preserve">M‑BLUE‑3: % actividades detectadas en tiempo real.  </w:t>
      </w:r>
    </w:p>
    <w:p>
      <w:pPr>
        <w:pStyle w:val="ListBullet"/>
        <w:keepLines w:val="1"/>
        <w:widowControl w:val="1"/>
      </w:pPr>
      <w:r>
        <w:t>M‑BLUE‑4: Nº/porcentaje de detecciones originadas por negocio.</w:t>
      </w:r>
    </w:p>
    <w:p>
      <w:pPr>
        <w:pStyle w:val="Heading3"/>
        <w:keepNext/>
        <w:keepLines/>
      </w:pPr>
      <w:r>
        <w:t>4.5. Dimensión PRP – Purple teaming y remediación</w:t>
      </w:r>
    </w:p>
    <w:p>
      <w:r>
        <w:rPr>
          <w:b/>
        </w:rPr>
        <w:t>Goal PRP‑1</w:t>
      </w:r>
      <w:r/>
      <w:r>
        <w:br/>
        <w:t>Cerrar el ciclo de aprendizaje asegurando que los hallazgos TIBER se traducen en mejoras medibles en controles, procesos y cultura.</w:t>
      </w:r>
    </w:p>
    <w:p>
      <w:r>
        <w:rPr>
          <w:b/>
        </w:rPr>
        <w:t>Questions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Q‑PRP‑1: ¿Se realizan ejercicios formales de purple teaming tras las pruebas?  </w:t>
      </w:r>
    </w:p>
    <w:p>
      <w:pPr>
        <w:pStyle w:val="ListBullet"/>
        <w:keepLines w:val="1"/>
        <w:keepNext w:val="1"/>
        <w:widowControl w:val="1"/>
      </w:pPr>
      <w:r>
        <w:t xml:space="preserve">Q‑PRP‑2: ¿Se observa mejora en MTTD/MTTR tras los ejercicios de purple?  </w:t>
      </w:r>
    </w:p>
    <w:p>
      <w:pPr>
        <w:pStyle w:val="ListBullet"/>
        <w:keepLines w:val="1"/>
        <w:keepNext w:val="1"/>
        <w:widowControl w:val="1"/>
      </w:pPr>
      <w:r>
        <w:t xml:space="preserve">Q‑PRP‑3: ¿Qué porcentaje de recomendaciones críticas y altas se implementa en plazos predefinidos?  </w:t>
      </w:r>
    </w:p>
    <w:p>
      <w:pPr>
        <w:pStyle w:val="ListBullet"/>
        <w:keepLines w:val="1"/>
        <w:widowControl w:val="1"/>
      </w:pPr>
      <w:r>
        <w:t>Q‑PRP‑4: ¿Existe un proceso formal de lecciones aprendidas con el Consejo?</w:t>
      </w:r>
    </w:p>
    <w:p>
      <w:r>
        <w:rPr>
          <w:b/>
        </w:rPr>
        <w:t>Metrics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M‑PRP‑1: Indicador de existencia/intensidad de purple teaming (0–5).  </w:t>
      </w:r>
    </w:p>
    <w:p>
      <w:pPr>
        <w:pStyle w:val="ListBullet"/>
        <w:keepLines w:val="1"/>
        <w:keepNext w:val="1"/>
        <w:widowControl w:val="1"/>
      </w:pPr>
      <w:r>
        <w:t xml:space="preserve">M‑PRP‑2: % de mejora observada en MTTD en escenarios repetidos.  </w:t>
      </w:r>
    </w:p>
    <w:p>
      <w:pPr>
        <w:pStyle w:val="ListBullet"/>
        <w:keepLines w:val="1"/>
        <w:keepNext w:val="1"/>
        <w:widowControl w:val="1"/>
      </w:pPr>
      <w:r>
        <w:t xml:space="preserve">M‑PRP‑3a: % recomendaciones críticas implementadas en 12 meses.  </w:t>
      </w:r>
    </w:p>
    <w:p>
      <w:pPr>
        <w:pStyle w:val="ListBullet"/>
        <w:keepLines w:val="1"/>
        <w:keepNext w:val="1"/>
        <w:widowControl w:val="1"/>
      </w:pPr>
      <w:r>
        <w:t xml:space="preserve">M‑PRP‑3b: % recomendaciones altas implementadas en 24 meses.  </w:t>
      </w:r>
    </w:p>
    <w:p>
      <w:pPr>
        <w:pStyle w:val="ListBullet"/>
        <w:keepLines w:val="1"/>
        <w:widowControl w:val="1"/>
      </w:pPr>
      <w:r>
        <w:t>M‑PRP‑4: Puntuación de formalidad del proceso de lecciones aprendidas (0–5).</w:t>
      </w:r>
    </w:p>
    <w:p>
      <w:pPr>
        <w:pStyle w:val="Heading2"/>
        <w:keepNext/>
        <w:keepLines/>
      </w:pPr>
      <w:r>
        <w:rPr>
          <w:color w:val="0066CC"/>
        </w:rPr>
        <w:t>5. Integración con PRAGMATIC</w:t>
      </w:r>
    </w:p>
    <w:p>
      <w:r>
        <w:t>Cada métrica M‑X‑Y será puntuada en la Matriz PRAGMATIC según nueve columnas:</w:t>
      </w:r>
    </w:p>
    <w:p>
      <w:pPr>
        <w:pStyle w:val="ListBullet"/>
        <w:keepLines w:val="1"/>
        <w:widowControl w:val="1"/>
      </w:pPr>
      <w:r>
        <w:t>PRED, REL, ACC, GEN, SIG, PREC, OPOR, IND, RENT.</w:t>
      </w:r>
    </w:p>
    <w:p>
      <w:r>
        <w:t>Estas puntuaciones permitirán:</w:t>
      </w:r>
    </w:p>
    <w:p>
      <w:pPr>
        <w:pStyle w:val="ListBullet"/>
        <w:keepLines w:val="1"/>
        <w:keepNext w:val="1"/>
        <w:widowControl w:val="1"/>
      </w:pPr>
      <w:r>
        <w:t xml:space="preserve">Filtrar métricas poco útiles (por ejemplo, alta precisión pero baja relevancia y accionabilidad).  </w:t>
      </w:r>
    </w:p>
    <w:p>
      <w:pPr>
        <w:pStyle w:val="ListBullet"/>
        <w:keepLines w:val="1"/>
        <w:keepNext w:val="1"/>
        <w:widowControl w:val="1"/>
      </w:pPr>
      <w:r>
        <w:t xml:space="preserve">Priorizar las que tienen mejor combinación de relevancia, predicción y coste razonable.  </w:t>
      </w:r>
    </w:p>
    <w:p>
      <w:pPr>
        <w:pStyle w:val="ListBullet"/>
        <w:keepLines w:val="1"/>
        <w:widowControl w:val="1"/>
      </w:pPr>
      <w:r>
        <w:t>Ajustar el diseño de la encuesta y del cuadro de mando nacional.</w:t>
      </w:r>
    </w:p>
    <w:p>
      <w:pPr>
        <w:pStyle w:val="Heading2"/>
        <w:keepNext/>
        <w:keepLines/>
      </w:pPr>
      <w:r>
        <w:rPr>
          <w:color w:val="0066CC"/>
        </w:rPr>
        <w:t>6. Salida: selección de métricas “estrella”</w:t>
      </w:r>
    </w:p>
    <w:p>
      <w:r>
        <w:t>Una vez aplicado PRAGMATIC, se propondrá:</w:t>
      </w:r>
    </w:p>
    <w:p>
      <w:pPr>
        <w:pStyle w:val="ListBullet"/>
        <w:keepLines w:val="1"/>
        <w:keepNext w:val="1"/>
        <w:widowControl w:val="1"/>
      </w:pPr>
      <w:r>
        <w:t xml:space="preserve">Un conjunto de indicadores núcleo (core) de alto valor.  </w:t>
      </w:r>
    </w:p>
    <w:p>
      <w:pPr>
        <w:pStyle w:val="ListBullet"/>
        <w:keepLines w:val="1"/>
        <w:widowControl w:val="1"/>
      </w:pPr>
      <w:r>
        <w:t xml:space="preserve">Un conjunto de indicadores complementarios para entidades con más madurez.  </w:t>
      </w:r>
    </w:p>
    <w:p>
      <w:r>
        <w:t>Esta selección alimentará:</w:t>
      </w:r>
    </w:p>
    <w:p>
      <w:pPr>
        <w:pStyle w:val="ListBullet"/>
        <w:keepLines w:val="1"/>
        <w:keepNext w:val="1"/>
        <w:widowControl w:val="1"/>
      </w:pPr>
      <w:r>
        <w:t xml:space="preserve">La plantilla Excel de IGM y ROI.  </w:t>
      </w:r>
    </w:p>
    <w:p>
      <w:pPr>
        <w:pStyle w:val="ListBullet"/>
        <w:keepLines w:val="1"/>
        <w:keepNext w:val="1"/>
        <w:widowControl w:val="1"/>
      </w:pPr>
      <w:r>
        <w:t xml:space="preserve">El cuadro de mando nacional.  </w:t>
      </w:r>
    </w:p>
    <w:p>
      <w:pPr>
        <w:pStyle w:val="ListBullet"/>
        <w:keepLines w:val="1"/>
        <w:widowControl w:val="1"/>
      </w:pPr>
      <w:r>
        <w:t>Los resúmenes ejecutivos para reguladores y entidades.</w:t>
      </w:r>
    </w:p>
    <w:p>
      <w:r>
        <w:rPr>
          <w:i/>
        </w:rPr>
        <w:t>Fin del Marco Integrativo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