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Para indicadores TIBER‑EU / TIBER‑ES</w:t>
      </w:r>
    </w:p>
    <w:p>
      <w:pPr>
        <w:pStyle w:val="Heading2"/>
        <w:keepNext/>
        <w:keepLines/>
      </w:pPr>
      <w:r>
        <w:rPr>
          <w:color w:val="0066CC"/>
        </w:rPr>
        <w:t>1. Escala de puntuación</w:t>
      </w:r>
    </w:p>
    <w:p>
      <w:r>
        <w:t>Cada criterio PRAGMATIC se puntúa de 0 a 5:</w:t>
      </w:r>
    </w:p>
    <w:p>
      <w:pPr>
        <w:pStyle w:val="ListBullet"/>
        <w:keepLines w:val="1"/>
        <w:keepNext w:val="1"/>
        <w:widowControl w:val="1"/>
      </w:pPr>
      <w:r>
        <w:t xml:space="preserve">0–1: Muy pobre.  </w:t>
      </w:r>
    </w:p>
    <w:p>
      <w:pPr>
        <w:pStyle w:val="ListBullet"/>
        <w:keepLines w:val="1"/>
        <w:keepNext w:val="1"/>
        <w:widowControl w:val="1"/>
      </w:pPr>
      <w:r>
        <w:t xml:space="preserve">2–3: Aceptable / moderado.  </w:t>
      </w:r>
    </w:p>
    <w:p>
      <w:pPr>
        <w:pStyle w:val="ListBullet"/>
        <w:keepLines w:val="1"/>
        <w:widowControl w:val="1"/>
      </w:pPr>
      <w:r>
        <w:t>4–5: Alto / excelente.</w:t>
      </w:r>
    </w:p>
    <w:p>
      <w:pPr>
        <w:pStyle w:val="Heading2"/>
        <w:keepNext/>
        <w:keepLines/>
      </w:pPr>
      <w:r>
        <w:rPr>
          <w:color w:val="0066CC"/>
        </w:rPr>
        <w:t>2. Tabla PRAGMATIC (extracto de indicadores principales)</w:t>
      </w:r>
    </w:p>
    <w:p>
      <w:r>
        <w:t>Nota: las valoraciones aquí propuestas son orientativas y pueden ajustarse en función de la experiencia nacional.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M‑GOV‑1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Existencia y revisión del inventario de CIFs (0–5)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Fuerte enlace con gobernanza; fácil de obtener; buen predictor indirecto de madurez.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M‑GOV‑2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CIFs sustentadas en BIA documentado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calidad de la base analítica; coste medio, requiere consolidar BIA.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M‑GOV‑3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CIFs cubiertas en 3 años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Uno de los indicadores estrella: liga pruebas con criticidad real.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M‑GOV‑4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Implicación del Consejo (0–5)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Algo subjetivo, pero muy relevante para cambio cultural.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M‑TI‑1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Uso de GTL sectorial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binaria simple; relevante para alineamiento nacional.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M‑TI‑2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Alineamiento TTIR‑amenazas reales (0–5)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Tiene componente subjetivo; útil como termómetro de realismo.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M‑TI‑3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actualizaciones TTIR durante el test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indicador de dinamismo, pero poco directamente predictivo.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M‑TI‑4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Integración TTIR en procesos (0–5)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Valor cualitativo de madurez; importante para aprovechar la TI.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M‑RT‑1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de escenarios ejecutados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No por muchos escenarios cae más la brecha, pero sirve como proxy de ambición.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M‑RT‑2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familias de TTPs usadas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Cuanto más variado el ataque, más información para el Blue Team.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M‑RT‑3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banderas sin leg‑ups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Difícil de interpretar: alta tasa puede significar controles débiles o RT muy bueno.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M‑RT‑4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leg‑ups por escenario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Debe analizarse junto a otros indicadores; no usar aislado.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M‑BLUE‑1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(escala)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central: combina capacidad de detección y alerta temprana.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M‑BLUE‑2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(escala)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Completa el cuadro con contención; crítico para resiliencia.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M‑BLUE‑3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actividades detectadas en tiempo real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Útil para medir madurez de monitorización y correlación.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M‑BLUE‑4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detecciones originadas por negocio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cultura de seguridad y eficacia de concienciación; barato de obtener.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M‑PRP‑1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de existencia/intensidad de purple teaming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si el ciclo de aprendizaje se completa.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M‑PRP‑2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mejora MTTD tras purple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muy potente; requiere disciplina de medición.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M‑PRP‑3a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recomendaciones críticas en 12 meses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clave de remediación; puede ser la métrica más políticamente sensible.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M‑PRP‑3b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recomendaciones altas en 24 meses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Complementa el anterior; muestra constancia en el tiempo.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M‑PRP‑4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Formalidad de lecciones aprendidas (0–5)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cultura de aprendizaje; fácil de capturar vía encuesta.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M‑ROI‑1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ROI estimado de TIBER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Alta incertidumbre; útil más como ejercicio interno que para benchmarking.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 la matriz</w:t>
      </w:r>
    </w:p>
    <w:p>
      <w:pPr>
        <w:pStyle w:val="ListBullet"/>
        <w:keepLines w:val="1"/>
        <w:keepNext w:val="1"/>
        <w:widowControl w:val="1"/>
      </w:pPr>
      <w:r>
        <w:t xml:space="preserve">Calcular para cada métrica una puntuación global PRAGMATIC, por ejemplo la media de los nueve criterios.  </w:t>
      </w:r>
    </w:p>
    <w:p>
      <w:pPr>
        <w:pStyle w:val="ListBullet"/>
        <w:keepLines w:val="1"/>
        <w:keepNext w:val="1"/>
        <w:widowControl w:val="1"/>
      </w:pPr>
      <w:r>
        <w:t xml:space="preserve">Definir umbrales para clasificación:  </w:t>
      </w:r>
    </w:p>
    <w:p>
      <w:pPr>
        <w:pStyle w:val="ListBullet"/>
        <w:keepLines w:val="1"/>
        <w:keepNext w:val="1"/>
        <w:widowControl w:val="1"/>
      </w:pPr>
      <w:r>
        <w:t xml:space="preserve">≥ 4: métrica “estrella”.  </w:t>
      </w:r>
    </w:p>
    <w:p>
      <w:pPr>
        <w:pStyle w:val="ListBullet"/>
        <w:keepLines w:val="1"/>
        <w:keepNext w:val="1"/>
        <w:widowControl w:val="1"/>
      </w:pPr>
      <w:r>
        <w:t xml:space="preserve">3–4: métrica “útil”.  </w:t>
      </w:r>
    </w:p>
    <w:p>
      <w:pPr>
        <w:pStyle w:val="ListBullet"/>
        <w:keepLines w:val="1"/>
        <w:keepNext w:val="1"/>
        <w:widowControl w:val="1"/>
      </w:pPr>
      <w:r>
        <w:br/>
        <w:t>&lt; 3: métrica “opcional” o candidata a revisión.</w:t>
        <w:br/>
      </w:r>
    </w:p>
    <w:p>
      <w:pPr>
        <w:pStyle w:val="ListBullet"/>
        <w:keepLines w:val="1"/>
        <w:widowControl w:val="1"/>
      </w:pPr>
      <w:r>
        <w:br/>
        <w:t>Visualizar el resultado en gráficos radar por métrica o por dimensión para priorizar.</w:t>
        <w:br/>
      </w:r>
    </w:p>
    <w:p>
      <w:r>
        <w:t>&lt; 3: métrica “opcional” o candidata a revisión.</w:t>
      </w:r>
    </w:p>
    <w:p>
      <w:r>
        <w:t>Visualizar el resultado en gráficos radar por métrica o por dimensión para priorizar.</w:t>
      </w:r>
    </w:p>
    <w:p>
      <w:r>
        <w:rPr>
          <w:i/>
        </w:rPr>
        <w:t>Fin de la Matriz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