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del marco GQM + PRAGMATIC aplicado a TLPT</w:t>
      </w:r>
    </w:p>
    <w:p>
      <w:pPr>
        <w:pStyle w:val="Heading2"/>
        <w:keepNext/>
        <w:keepLines/>
      </w:pPr>
      <w:r>
        <w:rPr>
          <w:color w:val="0066CC"/>
        </w:rPr>
        <w:t>1. De “métricas sueltas” a un sistema con brújula</w:t>
      </w:r>
    </w:p>
    <w:p>
      <w:r>
        <w:t>Los indicadores TLPT por sí solos son como constelaciones sin nombres: brillan, pero cuesta orientarse.</w:t>
      </w:r>
      <w:r/>
      <w:r>
        <w:br/>
        <w:t>El enfoque GQM proporciona la brújula: cada métrica se ancla en un objetivo y en una pregunta explícita, conectando la estadística con la estrategia.[web:36]</w:t>
      </w:r>
    </w:p>
    <w:p>
      <w:r>
        <w:t>Así, el % de funciones críticas cubiertas (M1) deja de ser un número caprichoso y pasa a ser la respuesta a una pregunta incómoda: “¿Dónde nos estamos dejando zonas de sombra?”.</w:t>
      </w:r>
      <w:r/>
      <w:r>
        <w:br/>
        <w:t>El MTTD TLPT (M6) deja de ser “un dato de SOC” para convertirse en la medida de cuán ciegos estamos ante un adversario serio.</w:t>
      </w:r>
    </w:p>
    <w:p>
      <w:pPr>
        <w:pStyle w:val="Heading2"/>
        <w:keepNext/>
        <w:keepLines/>
      </w:pPr>
      <w:r>
        <w:rPr>
          <w:color w:val="0066CC"/>
        </w:rPr>
        <w:t>2. Cómo encaja GQM con DORA y TIBER-ES</w:t>
      </w:r>
    </w:p>
    <w:p>
      <w:r>
        <w:t>DORA y los RTS sobre TLPT describen qué hay que hacer: quién entra en el sorteo del TLPT, cómo se organiza la prueba, qué debe incluir el informe y cómo se emite la attestation.[web:16]</w:t>
      </w:r>
      <w:r/>
      <w:r>
        <w:br/>
        <w:t>TIBER-ES concreta el “cómo” operativo: fases TTI, Red Team, cierre, remediación y papel del TIBER Cyber Team.[web:38]</w:t>
      </w:r>
    </w:p>
    <w:p>
      <w:r>
        <w:t>GQM sitúa por encima de todo eso una capa explícita de metas:</w:t>
      </w:r>
    </w:p>
    <w:p>
      <w:pPr>
        <w:pStyle w:val="ListBullet"/>
        <w:keepLines w:val="1"/>
        <w:keepNext w:val="1"/>
        <w:widowControl w:val="1"/>
      </w:pPr>
      <w:r>
        <w:t xml:space="preserve">Cobertura: que las funciones críticas, y sus proveedores TIC, pasen por el microondas del TLPT.  </w:t>
      </w:r>
    </w:p>
    <w:p>
      <w:pPr>
        <w:pStyle w:val="ListBullet"/>
        <w:keepLines w:val="1"/>
        <w:keepNext w:val="1"/>
        <w:widowControl w:val="1"/>
      </w:pPr>
      <w:r>
        <w:t xml:space="preserve">Capacidad de reacción: que MTTD/MTTR no sean una confesión de derrota lenta.  </w:t>
      </w:r>
    </w:p>
    <w:p>
      <w:pPr>
        <w:pStyle w:val="ListBullet"/>
        <w:keepLines w:val="1"/>
        <w:keepNext w:val="1"/>
        <w:widowControl w:val="1"/>
      </w:pPr>
      <w:r>
        <w:t xml:space="preserve">Mejora continua: que los hallazgos no se reencarnen ejercicio tras ejercicio.  </w:t>
      </w:r>
    </w:p>
    <w:p>
      <w:pPr>
        <w:pStyle w:val="ListBullet"/>
        <w:keepLines w:val="1"/>
        <w:widowControl w:val="1"/>
      </w:pPr>
      <w:r>
        <w:t>Gobernanza: que el ciclo trienal y los planes plurianuales sean algo más que un calendario en la pared.</w:t>
      </w:r>
    </w:p>
    <w:p>
      <w:pPr>
        <w:pStyle w:val="Heading2"/>
        <w:keepNext/>
        <w:keepLines/>
      </w:pPr>
      <w:r>
        <w:rPr>
          <w:color w:val="0066CC"/>
        </w:rPr>
        <w:t>3. El porqué del filtro PRAGMATIC</w:t>
      </w:r>
    </w:p>
    <w:p>
      <w:r>
        <w:t>La tentación de cualquier programa de métricas es caer en el coleccionismo: cuantos más indicadores, mejor.</w:t>
      </w:r>
      <w:r/>
      <w:r>
        <w:br/>
        <w:t>El criterio PRAGMATIC actúa como una aduana: solo pasan la frontera las métricas que sean predicativas, relevantes, accionables y, ya puestos, que no arruinen a nadie en el proceso.[web:36]</w:t>
      </w:r>
    </w:p>
    <w:p>
      <w:pPr>
        <w:pStyle w:val="ListBullet"/>
        <w:keepLines w:val="1"/>
        <w:keepNext w:val="1"/>
        <w:widowControl w:val="1"/>
      </w:pPr>
      <w:r>
        <w:t xml:space="preserve">Predictivo: evita enamorarse de métricas que solo describen el pasado.  </w:t>
      </w:r>
    </w:p>
    <w:p>
      <w:pPr>
        <w:pStyle w:val="ListBullet"/>
        <w:keepLines w:val="1"/>
        <w:keepNext w:val="1"/>
        <w:widowControl w:val="1"/>
      </w:pPr>
      <w:r>
        <w:t xml:space="preserve">Relevante: impide que la métrica viva por sí misma, separada de DORA y de los objetivos nacionales.  </w:t>
      </w:r>
    </w:p>
    <w:p>
      <w:pPr>
        <w:pStyle w:val="ListBullet"/>
        <w:keepLines w:val="1"/>
        <w:keepNext w:val="1"/>
        <w:widowControl w:val="1"/>
      </w:pPr>
      <w:r>
        <w:t xml:space="preserve">Accionable: si el valor sube o baja, debe implicar una decisión, no un suspiro.  </w:t>
      </w:r>
    </w:p>
    <w:p>
      <w:pPr>
        <w:pStyle w:val="ListBullet"/>
        <w:keepLines w:val="1"/>
        <w:keepNext w:val="1"/>
        <w:widowControl w:val="1"/>
      </w:pPr>
      <w:r>
        <w:t xml:space="preserve">Genuino: cuanto más difícil de falsificar, mejor; el exceso de “self‑assessment optimista” mata.  </w:t>
      </w:r>
    </w:p>
    <w:p>
      <w:pPr>
        <w:pStyle w:val="ListBullet"/>
        <w:keepLines w:val="1"/>
        <w:keepNext w:val="1"/>
        <w:widowControl w:val="1"/>
      </w:pPr>
      <w:r>
        <w:t xml:space="preserve">Significativo: que un consejero pueda entenderlo en 10 segundos.  </w:t>
      </w:r>
    </w:p>
    <w:p>
      <w:pPr>
        <w:pStyle w:val="ListBullet"/>
        <w:keepLines w:val="1"/>
        <w:keepNext w:val="1"/>
        <w:widowControl w:val="1"/>
      </w:pPr>
      <w:r>
        <w:t xml:space="preserve">Preciso: definiciones claras, sin espacio para manipular el denominador.  </w:t>
      </w:r>
    </w:p>
    <w:p>
      <w:pPr>
        <w:pStyle w:val="ListBullet"/>
        <w:keepLines w:val="1"/>
        <w:keepNext w:val="1"/>
        <w:widowControl w:val="1"/>
      </w:pPr>
      <w:r>
        <w:t xml:space="preserve">Oportuno: si llega tarde, es opinión histórica, no indicador.  </w:t>
      </w:r>
    </w:p>
    <w:p>
      <w:pPr>
        <w:pStyle w:val="ListBullet"/>
        <w:keepLines w:val="1"/>
        <w:keepNext w:val="1"/>
        <w:widowControl w:val="1"/>
      </w:pPr>
      <w:r>
        <w:t xml:space="preserve">Independiente: sin redundancias que acaben confundiendo más que ayudando.  </w:t>
      </w:r>
    </w:p>
    <w:p>
      <w:pPr>
        <w:pStyle w:val="ListBullet"/>
        <w:keepLines w:val="1"/>
        <w:widowControl w:val="1"/>
      </w:pPr>
      <w:r>
        <w:t>Rentable: el coste de calcularla no debe superar el beneficio de disponer de ella.</w:t>
      </w:r>
    </w:p>
    <w:p>
      <w:pPr>
        <w:pStyle w:val="Heading2"/>
        <w:keepNext/>
        <w:keepLines/>
      </w:pPr>
      <w:r>
        <w:rPr>
          <w:color w:val="0066CC"/>
        </w:rPr>
        <w:t>4. Usos recomendados del marco</w:t>
      </w:r>
    </w:p>
    <w:p>
      <w:pPr>
        <w:pStyle w:val="ListBullet"/>
        <w:keepLines w:val="1"/>
        <w:keepNext w:val="1"/>
        <w:widowControl w:val="1"/>
      </w:pPr>
      <w:r>
        <w:t xml:space="preserve">A nivel de país/sector: seleccionar un subconjunto de métricas M1–M16 como base para un “Cuadro de Resiliencia TLPT nacional”, con foco en cobertura, MTTD/MTTR y remediación.  </w:t>
      </w:r>
    </w:p>
    <w:p>
      <w:pPr>
        <w:pStyle w:val="ListBullet"/>
        <w:keepLines w:val="1"/>
        <w:keepNext w:val="1"/>
        <w:widowControl w:val="1"/>
      </w:pPr>
      <w:r>
        <w:t xml:space="preserve">A nivel de entidad: usar el GQM para justificar por qué se mide lo que se mide y cómo se integran los resultados en el plan de inversiones de ciberseguridad y continuidad.  </w:t>
      </w:r>
    </w:p>
    <w:p>
      <w:pPr>
        <w:pStyle w:val="ListBullet"/>
        <w:keepLines w:val="1"/>
        <w:widowControl w:val="1"/>
      </w:pPr>
      <w:r>
        <w:t>A nivel de supervisores: explotar la comparabilidad que ofrece DORA/RTS para analizar tendencias de M6–M11 a escala agregada.[web:16][web:26]</w:t>
      </w:r>
    </w:p>
    <w:p>
      <w:pPr>
        <w:pStyle w:val="Heading2"/>
        <w:keepNext/>
        <w:keepLines/>
      </w:pPr>
      <w:r>
        <w:rPr>
          <w:color w:val="0066CC"/>
        </w:rPr>
        <w:t>5. Cómo contar la historia sin ahogar con números</w:t>
      </w:r>
    </w:p>
    <w:p>
      <w:r>
        <w:t xml:space="preserve">Cada métrica debería poder usarse en una frase simple ante el consejo:  </w:t>
      </w:r>
    </w:p>
    <w:p>
      <w:pPr>
        <w:pStyle w:val="ListBullet"/>
        <w:keepLines w:val="1"/>
        <w:keepNext w:val="1"/>
        <w:widowControl w:val="1"/>
      </w:pPr>
      <w:r>
        <w:t xml:space="preserve">“Hemos aumentado la cobertura de funciones críticas del 40 % al 75 % (M1), y eso reduce la probabilidad de sorpresas operativas en incidentes graves.”  </w:t>
      </w:r>
    </w:p>
    <w:p>
      <w:pPr>
        <w:pStyle w:val="ListBullet"/>
        <w:keepLines w:val="1"/>
        <w:keepNext w:val="1"/>
        <w:widowControl w:val="1"/>
      </w:pPr>
      <w:r>
        <w:t xml:space="preserve">“Nuestro MTTD en TLPT ha pasado de 3 días a 6 horas (M6), aunque todavía llegamos tarde a ciertos vectores internos.”  </w:t>
      </w:r>
    </w:p>
    <w:p>
      <w:pPr>
        <w:pStyle w:val="ListBullet"/>
        <w:keepLines w:val="1"/>
        <w:widowControl w:val="1"/>
      </w:pPr>
      <w:r>
        <w:t>“La recurrencia de hallazgos (M11) sigue por encima del 30 %, señal de que remediar no siempre significa cerrar el ciclo.”</w:t>
      </w:r>
    </w:p>
    <w:p>
      <w:r>
        <w:t>Si la frase no encaja en una línea clara, quizá la métrica esté pidiendo una revisión (o su jubilación digna).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