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 la Encuesta TLPT</w:t>
      </w:r>
    </w:p>
    <w:p>
      <w:pPr>
        <w:pStyle w:val="Heading2"/>
        <w:keepNext/>
        <w:keepLines/>
      </w:pPr>
      <w:r>
        <w:rPr>
          <w:color w:val="0066CC"/>
        </w:rPr>
        <w:t>1. Por qué esta encuesta y por qué ahora</w:t>
      </w:r>
    </w:p>
    <w:p>
      <w:r>
        <w:t>DORA ha elevado las pruebas TLPT a la categoría de “deber cívico” de las entidades financieras con capacidad de generar impacto sistémico.[web:16][web:39]</w:t>
      </w:r>
      <w:r/>
      <w:r>
        <w:br/>
        <w:t>TIBER-ES ha aterrizado este deber en España con un marco operativo detallado que ya no deja mucho espacio a la improvisación heroica.[web:38]</w:t>
      </w:r>
    </w:p>
    <w:p>
      <w:r>
        <w:t>Esta encuesta no pretende ser un examen, sino un espejo; uno que, eso sí, devuelve imágenes de alta resolución sobre gobierno, alcance, metodología y cultura de ciberresiliencia.</w:t>
      </w:r>
      <w:r/>
      <w:r>
        <w:br/>
        <w:t>La ironía en algunas opciones de respuesta no busca ridiculizar, sino aliviar la digestión de lo que, en el fondo, es un ejercicio muy serio.</w:t>
      </w:r>
    </w:p>
    <w:p>
      <w:pPr>
        <w:pStyle w:val="Heading2"/>
        <w:keepNext/>
        <w:keepLines/>
      </w:pPr>
      <w:r>
        <w:rPr>
          <w:color w:val="0066CC"/>
        </w:rPr>
        <w:t>2. De la “prueba técnica” al “test de resiliencia”</w:t>
      </w:r>
    </w:p>
    <w:p>
      <w:r>
        <w:t>Durante años, muchas organizaciones han llamado “test de intrusión” a ejercicios limitados que nunca ejercitaban la cadena completa de valor ni ponían en jaque los procesos de negocio.</w:t>
      </w:r>
      <w:r/>
      <w:r>
        <w:br/>
        <w:t>TLPT, en cambio, exige pruebas basadas en amenazas reales, sobre sistemas en producción, con participación de funciones críticas y terceros TIC.[web:36][web:39]</w:t>
      </w:r>
    </w:p>
    <w:p>
      <w:r>
        <w:t>La encuesta refleja ese cambio de paradigma:</w:t>
      </w:r>
    </w:p>
    <w:p>
      <w:pPr>
        <w:pStyle w:val="ListBullet"/>
        <w:keepLines w:val="1"/>
        <w:keepNext w:val="1"/>
        <w:widowControl w:val="1"/>
      </w:pPr>
      <w:r>
        <w:t xml:space="preserve">Preguntas sobre funciones críticas, no solo sobre sistemas.  </w:t>
      </w:r>
    </w:p>
    <w:p>
      <w:pPr>
        <w:pStyle w:val="ListBullet"/>
        <w:keepLines w:val="1"/>
        <w:keepNext w:val="1"/>
        <w:widowControl w:val="1"/>
      </w:pPr>
      <w:r>
        <w:t xml:space="preserve">Preguntas sobre proveedores TIC en alcance, no como nota a pie de página.  </w:t>
      </w:r>
    </w:p>
    <w:p>
      <w:pPr>
        <w:pStyle w:val="ListBullet"/>
        <w:keepLines w:val="1"/>
        <w:widowControl w:val="1"/>
      </w:pPr>
      <w:r>
        <w:t>Preguntas sobre MTTD/MTTR y remediación, no solo sobre el número de hallazgos.</w:t>
      </w:r>
    </w:p>
    <w:p>
      <w:pPr>
        <w:pStyle w:val="Heading2"/>
        <w:keepNext/>
        <w:keepLines/>
      </w:pPr>
      <w:r>
        <w:rPr>
          <w:color w:val="0066CC"/>
        </w:rPr>
        <w:t>3. Qué busca cada bloque</w:t>
      </w:r>
    </w:p>
    <w:p>
      <w:pPr>
        <w:pStyle w:val="ListBullet"/>
        <w:keepLines w:val="1"/>
        <w:keepNext w:val="1"/>
        <w:widowControl w:val="1"/>
      </w:pPr>
      <w:r>
        <w:t xml:space="preserve">Gobierno y alineamiento normativo: identificar si TLPT está anclado en políticas, comités y decisiones formales, o si sigue siendo un proyecto “experimental”.[web:16]  </w:t>
      </w:r>
    </w:p>
    <w:p>
      <w:pPr>
        <w:pStyle w:val="ListBullet"/>
        <w:keepLines w:val="1"/>
        <w:keepNext w:val="1"/>
        <w:widowControl w:val="1"/>
      </w:pPr>
      <w:r>
        <w:t xml:space="preserve">Alcance y criticidad: medir cuánto del mapa real de riesgo (funciones, terceros, geografía) entra de verdad en el tanque de pruebas.[web:39]  </w:t>
      </w:r>
    </w:p>
    <w:p>
      <w:pPr>
        <w:pStyle w:val="ListBullet"/>
        <w:keepLines w:val="1"/>
        <w:keepNext w:val="1"/>
        <w:widowControl w:val="1"/>
      </w:pPr>
      <w:r>
        <w:t xml:space="preserve">Metodología TTI + Red Team: distinguir entre un pentest sofisticado y un TLPT genuino alimentado por inteligencia de amenazas.  </w:t>
      </w:r>
    </w:p>
    <w:p>
      <w:pPr>
        <w:pStyle w:val="ListBullet"/>
        <w:keepLines w:val="1"/>
        <w:keepNext w:val="1"/>
        <w:widowControl w:val="1"/>
      </w:pPr>
      <w:r>
        <w:t xml:space="preserve">Detección, respuesta y continuidad: evaluar reflejos y músculo operacional, no solo capacidades tecnológicas.  </w:t>
      </w:r>
    </w:p>
    <w:p>
      <w:pPr>
        <w:pStyle w:val="ListBullet"/>
        <w:keepLines w:val="1"/>
        <w:keepNext w:val="1"/>
        <w:widowControl w:val="1"/>
      </w:pPr>
      <w:r>
        <w:t xml:space="preserve">Remediación y attestation: pasar del “qué mal estamos” al “qué hacemos al respecto y cómo lo demostramos al supervisor”.[web:16]  </w:t>
      </w:r>
    </w:p>
    <w:p>
      <w:pPr>
        <w:pStyle w:val="ListBullet"/>
        <w:keepLines w:val="1"/>
        <w:widowControl w:val="1"/>
      </w:pPr>
      <w:r>
        <w:t>Madurez cultural: entender si TLPT se percibe como amenaza burocrática o como aliado estratégico.</w:t>
      </w:r>
    </w:p>
    <w:p>
      <w:pPr>
        <w:pStyle w:val="Heading2"/>
        <w:keepNext/>
        <w:keepLines/>
      </w:pPr>
      <w:r>
        <w:rPr>
          <w:color w:val="0066CC"/>
        </w:rPr>
        <w:t>4. Cómo leer los resultados con espíritu constructivo</w:t>
      </w:r>
    </w:p>
    <w:p>
      <w:r>
        <w:t>Un resultado bajo en IGM no debería provocar vergüenza, sino curiosidad: ¿qué parte del ciclo (gobierno, alcance, operaciones, remediación) nos frena más?</w:t>
      </w:r>
      <w:r/>
      <w:r>
        <w:br/>
        <w:t>Las comparaciones con pares sectoriales sirven para contextualizar, no para buscar culpables.</w:t>
      </w:r>
    </w:p>
    <w:p>
      <w:r>
        <w:t>Lo que realmente importa es la trayectoria: una entidad que arranca con un nivel modesto pero usa los resultados para reorientar inversiones y procesos supera, en la práctica, a quien declara altos niveles de madurez pero no cambia nada.</w:t>
      </w:r>
    </w:p>
    <w:p>
      <w:pPr>
        <w:pStyle w:val="Heading2"/>
        <w:keepNext/>
        <w:keepLines/>
      </w:pPr>
      <w:r>
        <w:rPr>
          <w:color w:val="0066CC"/>
        </w:rPr>
        <w:t>5. La ironía como mecanismo de defensa (y de aprendizaje)</w:t>
      </w:r>
    </w:p>
    <w:p>
      <w:r>
        <w:t>Las opciones de respuesta, a veces deliberadamente irónicas, cumplen tres funciones:</w:t>
      </w:r>
    </w:p>
    <w:p>
      <w:pPr>
        <w:pStyle w:val="ListNumber"/>
        <w:keepLines w:val="1"/>
        <w:keepNext w:val="1"/>
        <w:widowControl w:val="1"/>
      </w:pPr>
      <w:r>
        <w:t xml:space="preserve">Desactivar la tentación de contestar de forma “perfecta” sin reflejar la realidad.  </w:t>
      </w:r>
    </w:p>
    <w:p>
      <w:pPr>
        <w:pStyle w:val="ListNumber"/>
        <w:keepLines w:val="1"/>
        <w:keepNext w:val="1"/>
        <w:widowControl w:val="1"/>
      </w:pPr>
      <w:r>
        <w:t xml:space="preserve">Invitar a la reflexión (“¿de verdad nuestro TLPT fue solo un pentest glamurizado?”).  </w:t>
      </w:r>
    </w:p>
    <w:p>
      <w:pPr>
        <w:pStyle w:val="ListNumber"/>
        <w:keepLines w:val="1"/>
        <w:widowControl w:val="1"/>
      </w:pPr>
      <w:r>
        <w:t>Facilitar que, en un taller, los distintos actores (CISO, CIO, COO, riesgos, negocio) hablen con más franqueza.</w:t>
      </w:r>
    </w:p>
    <w:p>
      <w:r>
        <w:t xml:space="preserve">Si al leer una opción el responsable de la entidad sonríe con complicidad, probablemente hemos acertado la diana del problema.  </w:t>
      </w:r>
    </w:p>
    <w:p>
      <w:pPr>
        <w:pStyle w:val="Heading2"/>
        <w:keepNext/>
        <w:keepLines/>
      </w:pPr>
      <w:r>
        <w:rPr>
          <w:color w:val="0066CC"/>
        </w:rPr>
        <w:t>6. Próximos pasos sugeridos</w:t>
      </w:r>
    </w:p>
    <w:p>
      <w:pPr>
        <w:pStyle w:val="ListBullet"/>
        <w:keepLines w:val="1"/>
        <w:keepNext w:val="1"/>
        <w:widowControl w:val="1"/>
      </w:pPr>
      <w:r>
        <w:t xml:space="preserve">Utilizar la encuesta antes del siguiente TLPT para priorizar alcance y escenarios.  </w:t>
      </w:r>
    </w:p>
    <w:p>
      <w:pPr>
        <w:pStyle w:val="ListBullet"/>
        <w:keepLines w:val="1"/>
        <w:keepNext w:val="1"/>
        <w:widowControl w:val="1"/>
      </w:pPr>
      <w:r>
        <w:t xml:space="preserve">Repetirla después para medir impacto y ajustar el plan de acción.  </w:t>
      </w:r>
    </w:p>
    <w:p>
      <w:pPr>
        <w:pStyle w:val="ListBullet"/>
        <w:keepLines w:val="1"/>
        <w:widowControl w:val="1"/>
      </w:pPr>
      <w:r>
        <w:t>Combinar sus resultados con indicadores cuantitativos (incidentes, pérdidas, sanciones, auditorías) para calcular el retorno de la resiliencia más allá del simple ROI contable.</w:t>
      </w:r>
    </w:p>
    <w:p>
      <w:r>
        <w:t>La encuesta no decide por sí sola qué hay que hacer, pero ayuda a poner las preguntas incómodas en la agenda correcta.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