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la encuesta a requisitos normativos TLPT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resumido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normativa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4-5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 TLPT y rol de la alta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DORA art. 5-16 (gobierno TIC), art. 26(11); RTS TLPT secc. 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de gobierno y aprobación de pruebas.[web:16][web:26]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6-7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Definición de Control/White/Red/Blue Team, testers internos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RTS TLPT (roles, uso de internal testers, independencia)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Clarifica segregación de funciones y límites de equipos internos.[web:16]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8-10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 de funciones críticas y servicios TIC externos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DORA art. 8, 30; RTS TLPT sobre alcance y terceros TIC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Obligación de identificar funciones críticas y proveedores relevantes.[web:26][web:39]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11-12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entornos de producción y tipo de activos en alcance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DORA art. 26; RTS TLPT (pruebas en sistemas en producción)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TLPT debe ejercerse sobre entornos reales y funciones críticas.[web:36]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13-15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Inteligencia de amenazas (TTI) y escenarios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TIBER-EU/TIBER-ES (fase TTI); RTS TLPT (metodología)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TTI sectorial y específica de la entidad.[web:31][web:38]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16-18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Duración Red Team, TTP y rol White Team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RTS TLPT art. sobre duración mínima y requisitos de ejecución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Detrás está la referencia de ≥12 semanas y realismo de TTP.[web:16][web:34]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19-21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y fuentes de detección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DORA pilar de gestión de incidentes; RTS TLPT fase resultados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Conecta TLPT con indicadores operativos de detección.[web:26]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22-24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Contención y recuperación (MTTC, MTTR)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DORA BCP/DRP y pruebas de continuidad; RTS TLPT fase cierre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Refuerza vínculo entre TLPT y resiliencia operativa.[web:26]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25-27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Severidad, volumen y recurrencia de hallazgos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RTS TLPT (resultados, remediación); DORA gestión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eficacia de la gestión de vulnerabilidades y repetición de fallos.[web:16]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28-30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remediación y re-test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RTS TLPT sección cierre y remediación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documentación y seguimiento de acciones correctivas.[web:16]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Attestation de la autoridad TLPT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RTS TLPT (attestation y reconocimiento mutuo)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Evidencia formal de cumplimiento de requisitos TLPT.[web:16]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32-33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de TLPT y planificación plurianual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DORA art. 25-26; RTS TLPT criterios de frecuencia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 menos cada 3 años, con capacidad de ajuste por la autoridad.[web:36][web:24]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34-37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Cultura, impacto en presupuesto y sharing sectorial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DORA pilar de gobernanza y cooperación; TIBER-ES objetivos sectoriales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Fomenta mejora continua y resiliencia colectiva.[web:38][web:41]</w:t>
            </w:r>
          </w:p>
        </w:tc>
      </w:tr>
    </w:tbl>
    <w:p/>
    <w:p>
      <w:r>
        <w:rPr>
          <w:i/>
        </w:rPr>
        <w:t>Nota:</w:t>
      </w:r>
      <w:r>
        <w:t xml:space="preserve"> las referencias concretas a artículos pueden detallarse aún más al adaptar el kit para uso oficial; aquí se mantienen a nivel de sección para uso práctico.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