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 – IGM + ROI con enfoque GQM/PRAGMATIC</w:t>
      </w:r>
    </w:p>
    <w:p>
      <w:pPr>
        <w:pStyle w:val="Heading2"/>
        <w:keepNext/>
        <w:keepLines/>
      </w:pPr>
      <w:r>
        <w:rPr>
          <w:color w:val="0066CC"/>
        </w:rPr>
        <w:t>1. Hojas recomendadas</w:t>
      </w:r>
    </w:p>
    <w:p>
      <w:pPr>
        <w:pStyle w:val="ListNumber"/>
        <w:keepLines w:val="1"/>
        <w:keepNext w:val="1"/>
        <w:widowControl w:val="1"/>
      </w:pPr>
      <w:r>
        <w:t xml:space="preserve">Catalogo_Metricas – definición de M1–M16 y puntuaciones PRAGMATIC.  </w:t>
      </w:r>
    </w:p>
    <w:p>
      <w:pPr>
        <w:pStyle w:val="ListNumber"/>
        <w:keepLines w:val="1"/>
        <w:keepNext w:val="1"/>
        <w:widowControl w:val="1"/>
      </w:pPr>
      <w:r>
        <w:t xml:space="preserve">Datos_Tecnicos – valores de cada métrica para la entidad (y, opcionalmente, para años previos).  </w:t>
      </w:r>
    </w:p>
    <w:p>
      <w:pPr>
        <w:pStyle w:val="ListNumber"/>
        <w:keepLines w:val="1"/>
        <w:keepNext w:val="1"/>
        <w:widowControl w:val="1"/>
      </w:pPr>
      <w:r>
        <w:t xml:space="preserve">IGM_Dominios – cálculo del Índice Global de Madurez por dominio G1–G5.  </w:t>
      </w:r>
    </w:p>
    <w:p>
      <w:pPr>
        <w:pStyle w:val="ListNumber"/>
        <w:keepLines w:val="1"/>
        <w:keepNext w:val="1"/>
        <w:widowControl w:val="1"/>
      </w:pPr>
      <w:r>
        <w:t xml:space="preserve">ROI_TLPT – cálculo económico de ROI basado en M14–M16.  </w:t>
      </w:r>
    </w:p>
    <w:p>
      <w:pPr>
        <w:pStyle w:val="ListNumber"/>
        <w:keepLines w:val="1"/>
        <w:widowControl w:val="1"/>
      </w:pPr>
      <w:r>
        <w:t>PRAGMATIC_Score (opcional) – evaluación de calidad de cada métrica.</w:t>
      </w:r>
    </w:p>
    <w:p>
      <w:pPr>
        <w:pStyle w:val="Heading2"/>
        <w:keepNext/>
        <w:keepLines/>
      </w:pPr>
      <w:r>
        <w:rPr>
          <w:color w:val="0066CC"/>
        </w:rPr>
        <w:t>2. Hoja Catalogo_Metricas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ID_Metrica (M1, M2, …, M16).  </w:t>
      </w:r>
    </w:p>
    <w:p>
      <w:pPr>
        <w:pStyle w:val="ListBullet"/>
        <w:keepLines w:val="1"/>
        <w:keepNext w:val="1"/>
        <w:widowControl w:val="1"/>
      </w:pPr>
      <w:r>
        <w:t xml:space="preserve">Nombre_Metrica (texto breve).  </w:t>
      </w:r>
    </w:p>
    <w:p>
      <w:pPr>
        <w:pStyle w:val="ListBullet"/>
        <w:keepLines w:val="1"/>
        <w:keepNext w:val="1"/>
        <w:widowControl w:val="1"/>
      </w:pPr>
      <w:r>
        <w:t xml:space="preserve">Goal (G1–G5).  </w:t>
      </w:r>
    </w:p>
    <w:p>
      <w:pPr>
        <w:pStyle w:val="ListBullet"/>
        <w:keepLines w:val="1"/>
        <w:keepNext w:val="1"/>
        <w:widowControl w:val="1"/>
      </w:pPr>
      <w:r>
        <w:t xml:space="preserve">Dominio (Cobertura, Metodología, Operaciones, Remediación, Gobernanza, Economía).  </w:t>
      </w:r>
    </w:p>
    <w:p>
      <w:pPr>
        <w:pStyle w:val="ListBullet"/>
        <w:keepLines w:val="1"/>
        <w:keepNext w:val="1"/>
        <w:widowControl w:val="1"/>
      </w:pPr>
      <w:r>
        <w:t xml:space="preserve">Definicion (resumen operativo).  </w:t>
      </w:r>
    </w:p>
    <w:p>
      <w:pPr>
        <w:pStyle w:val="ListBullet"/>
        <w:keepLines w:val="1"/>
        <w:keepNext w:val="1"/>
        <w:widowControl w:val="1"/>
      </w:pPr>
      <w:r>
        <w:t xml:space="preserve">Unidad.  </w:t>
      </w:r>
    </w:p>
    <w:p>
      <w:pPr>
        <w:pStyle w:val="ListBullet"/>
        <w:keepLines w:val="1"/>
        <w:widowControl w:val="1"/>
      </w:pPr>
      <w:r>
        <w:t xml:space="preserve">PRAGMATIC_P, PRAGMATIC_R, PRAGMATIC_A, PRAGMATIC_G, PRAGMATIC_M, PRAGMATIC_P2, PRAGMATIC_T, PRAGMATIC_I, PRAGMATIC_C (0–3).  </w:t>
      </w:r>
    </w:p>
    <w:p>
      <w:r>
        <w:t>Con estos campos es posible:</w:t>
      </w:r>
    </w:p>
    <w:p>
      <w:pPr>
        <w:pStyle w:val="ListBullet"/>
        <w:keepLines w:val="1"/>
        <w:keepNext w:val="1"/>
        <w:widowControl w:val="1"/>
      </w:pPr>
      <w:r>
        <w:t xml:space="preserve">Documentar claramente cada métrica.  </w:t>
      </w:r>
    </w:p>
    <w:p>
      <w:pPr>
        <w:pStyle w:val="ListBullet"/>
        <w:keepLines w:val="1"/>
        <w:widowControl w:val="1"/>
      </w:pPr>
      <w:r>
        <w:t>Analizar qué métricas conviene priorizar (más puntuación PRAGMATIC global).</w:t>
      </w:r>
    </w:p>
    <w:p>
      <w:pPr>
        <w:pStyle w:val="Heading2"/>
        <w:keepNext/>
        <w:keepLines/>
      </w:pPr>
      <w:r>
        <w:rPr>
          <w:color w:val="0066CC"/>
        </w:rPr>
        <w:t>3. Hoja Datos_Tecnicos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ID_Metrica.  </w:t>
      </w:r>
    </w:p>
    <w:p>
      <w:pPr>
        <w:pStyle w:val="ListBullet"/>
        <w:keepLines w:val="1"/>
        <w:keepNext w:val="1"/>
        <w:widowControl w:val="1"/>
      </w:pPr>
      <w:r>
        <w:t xml:space="preserve">Periodo (Año, ciclo TLPT, etc.).  </w:t>
      </w:r>
    </w:p>
    <w:p>
      <w:pPr>
        <w:pStyle w:val="ListBullet"/>
        <w:keepLines w:val="1"/>
        <w:keepNext w:val="1"/>
        <w:widowControl w:val="1"/>
      </w:pPr>
      <w:r>
        <w:t xml:space="preserve">Valor_Bruto (p.ej. 0,75; 12 horas; 40 %).  </w:t>
      </w:r>
    </w:p>
    <w:p>
      <w:pPr>
        <w:pStyle w:val="ListBullet"/>
        <w:keepLines w:val="1"/>
        <w:keepNext w:val="1"/>
        <w:widowControl w:val="1"/>
      </w:pPr>
      <w:r>
        <w:t xml:space="preserve">Valor_Normalizado_0_100 (si aplica).  </w:t>
      </w:r>
    </w:p>
    <w:p>
      <w:pPr>
        <w:pStyle w:val="ListBullet"/>
        <w:keepLines w:val="1"/>
        <w:keepNext w:val="1"/>
        <w:widowControl w:val="1"/>
      </w:pPr>
      <w:r>
        <w:t xml:space="preserve">Goal (referencia a Catalogo_Metricas).  </w:t>
      </w:r>
    </w:p>
    <w:p>
      <w:pPr>
        <w:pStyle w:val="ListBullet"/>
        <w:keepLines w:val="1"/>
        <w:widowControl w:val="1"/>
      </w:pPr>
      <w:r>
        <w:t>Dominio.</w:t>
      </w:r>
    </w:p>
    <w:p>
      <w:r>
        <w:t>Ejemplo de normalización para métricas de tipo “más alto = mejor”:</w:t>
      </w:r>
    </w:p>
    <w:p>
      <w:pPr>
        <w:pStyle w:val="ListBullet"/>
        <w:keepLines w:val="1"/>
        <w:widowControl w:val="1"/>
      </w:pPr>
      <w:r>
        <w:t>Valor_Normalizado_0_100 = (Valor_Bruto / Valor_Objetivo) * 100, truncando en 100.</w:t>
      </w:r>
    </w:p>
    <w:p>
      <w:r>
        <w:t>Para métricas de tipo “más bajo = mejor” (ej. MTTD, MTTR, nº hallazgos):</w:t>
      </w:r>
    </w:p>
    <w:p>
      <w:pPr>
        <w:pStyle w:val="ListBullet"/>
        <w:keepLines w:val="1"/>
        <w:widowControl w:val="1"/>
      </w:pPr>
      <w:r>
        <w:t>Valor_Normalizado_0_100 = (Valor_Objetivo / Valor_Bruto) * 100, con tope en 100, y ajustes de mínimos.</w:t>
      </w:r>
    </w:p>
    <w:p>
      <w:pPr>
        <w:pStyle w:val="Heading2"/>
        <w:keepNext/>
        <w:keepLines/>
      </w:pPr>
      <w:r>
        <w:rPr>
          <w:color w:val="0066CC"/>
        </w:rPr>
        <w:t>4. Hoja IGM_Dominios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Dominio (Cobertura, Metodología, Operaciones, Remediación, Gobernanza, Economía).  </w:t>
      </w:r>
    </w:p>
    <w:p>
      <w:pPr>
        <w:pStyle w:val="ListBullet"/>
        <w:keepLines w:val="1"/>
        <w:keepNext w:val="1"/>
        <w:widowControl w:val="1"/>
      </w:pPr>
      <w:r>
        <w:t xml:space="preserve">Peso_Dominio (suma 1, p.ej.: Cobertura 0,15; Metodología 0,15; Operaciones 0,25; Remediación 0,2; Gobernanza 0,15; Economía 0,10).  </w:t>
      </w:r>
    </w:p>
    <w:p>
      <w:pPr>
        <w:pStyle w:val="ListBullet"/>
        <w:keepLines w:val="1"/>
        <w:keepNext w:val="1"/>
        <w:widowControl w:val="1"/>
      </w:pPr>
      <w:r>
        <w:t xml:space="preserve">Puntuacion_Media_0_100 (promedio de Valor_Normalizado_0_100 de las métricas del dominio).  </w:t>
      </w:r>
    </w:p>
    <w:p>
      <w:pPr>
        <w:pStyle w:val="ListBullet"/>
        <w:keepLines w:val="1"/>
        <w:widowControl w:val="1"/>
      </w:pPr>
      <w:r>
        <w:t>Contribucion_IGM = Peso_Dominio * Puntuacion_Media_0_100.</w:t>
      </w:r>
    </w:p>
    <w:p>
      <w:r>
        <w:rPr>
          <w:rFonts w:ascii="Courier New" w:hAnsi="Courier New"/>
          <w:sz w:val="18"/>
        </w:rPr>
        <w:t>IGM_Global</w:t>
      </w:r>
      <w:r>
        <w:t xml:space="preserve"> = suma de </w:t>
      </w:r>
      <w:r>
        <w:rPr>
          <w:rFonts w:ascii="Courier New" w:hAnsi="Courier New"/>
          <w:sz w:val="18"/>
        </w:rPr>
        <w:t>Contribucion_IGM</w:t>
      </w:r>
      <w:r>
        <w:t xml:space="preserve"> (0–100).</w:t>
      </w:r>
    </w:p>
    <w:p>
      <w:r>
        <w:t>Con este enfoque, G1–G5 se materializan a través de dominios y métricas concretas.</w:t>
      </w:r>
    </w:p>
    <w:p>
      <w:pPr>
        <w:pStyle w:val="Heading2"/>
        <w:keepNext/>
        <w:keepLines/>
      </w:pPr>
      <w:r>
        <w:rPr>
          <w:color w:val="0066CC"/>
        </w:rPr>
        <w:t>5. Hoja ROI_TLPT</w:t>
      </w:r>
    </w:p>
    <w:p>
      <w:r>
        <w:t>Entrada:</w:t>
      </w:r>
    </w:p>
    <w:p>
      <w:pPr>
        <w:pStyle w:val="ListBullet"/>
        <w:keepLines w:val="1"/>
        <w:keepNext w:val="1"/>
        <w:widowControl w:val="1"/>
      </w:pPr>
      <w:r>
        <w:t xml:space="preserve">Costo_Ejercicio (coste del TLPT: proveedores, dedicación interna).  </w:t>
      </w:r>
    </w:p>
    <w:p>
      <w:pPr>
        <w:pStyle w:val="ListBullet"/>
        <w:keepLines w:val="1"/>
        <w:keepNext w:val="1"/>
        <w:widowControl w:val="1"/>
      </w:pPr>
      <w:r>
        <w:t xml:space="preserve">Costo_Remediacion (coste de las acciones derivadas del TLPT).  </w:t>
      </w:r>
    </w:p>
    <w:p>
      <w:pPr>
        <w:pStyle w:val="ListBullet"/>
        <w:keepLines w:val="1"/>
        <w:keepNext w:val="1"/>
        <w:widowControl w:val="1"/>
      </w:pPr>
      <w:r>
        <w:t xml:space="preserve">Beneficios_Economicos = Perdidas_Previstas_Evitadas + Ahorros_Regulatorios (vinculado con M15).  </w:t>
      </w:r>
    </w:p>
    <w:p>
      <w:pPr>
        <w:pStyle w:val="ListBullet"/>
        <w:keepLines w:val="1"/>
        <w:widowControl w:val="1"/>
      </w:pPr>
      <w:r>
        <w:t>Periodo_Analisis (años para los que se estima la reducción de pérdidas).</w:t>
      </w:r>
    </w:p>
    <w:p>
      <w:r>
        <w:t>Cálculos básicos:</w:t>
      </w:r>
    </w:p>
    <w:p>
      <w:pPr>
        <w:pStyle w:val="ListBullet"/>
        <w:keepLines w:val="1"/>
        <w:keepNext w:val="1"/>
        <w:widowControl w:val="1"/>
      </w:pPr>
      <w:r>
        <w:t xml:space="preserve">Coste_Total = Costo_Ejercicio + Costo_Remediacion.  </w:t>
      </w:r>
    </w:p>
    <w:p>
      <w:pPr>
        <w:pStyle w:val="ListBullet"/>
        <w:keepLines w:val="1"/>
        <w:widowControl w:val="1"/>
      </w:pPr>
      <w:r>
        <w:t>ROI_TLPT (M16) = (Beneficios_Economicos - Coste_Total) / Coste_Total.</w:t>
      </w:r>
    </w:p>
    <w:p>
      <w:r>
        <w:t>Se puede añadir:</w:t>
      </w:r>
    </w:p>
    <w:p>
      <w:pPr>
        <w:pStyle w:val="ListBullet"/>
        <w:keepLines w:val="1"/>
        <w:keepNext w:val="1"/>
        <w:widowControl w:val="1"/>
      </w:pPr>
      <w:r>
        <w:t xml:space="preserve">Payback (años para recuperar el coste).  </w:t>
      </w:r>
    </w:p>
    <w:p>
      <w:pPr>
        <w:pStyle w:val="ListBullet"/>
        <w:keepLines w:val="1"/>
        <w:widowControl w:val="1"/>
      </w:pPr>
      <w:r>
        <w:t>Escenarios optimista / base / conservador, con diferentes supuestos sobre pérdidas evitadas.</w:t>
      </w:r>
    </w:p>
    <w:p>
      <w:pPr>
        <w:pStyle w:val="Heading2"/>
        <w:keepNext/>
        <w:keepLines/>
      </w:pPr>
      <w:r>
        <w:rPr>
          <w:color w:val="0066CC"/>
        </w:rPr>
        <w:t>6. Hoja PRAGMATIC_Score (opcional)</w:t>
      </w:r>
    </w:p>
    <w:p>
      <w:pPr>
        <w:pStyle w:val="ListBullet"/>
        <w:keepLines w:val="1"/>
        <w:keepNext w:val="1"/>
        <w:widowControl w:val="1"/>
      </w:pPr>
      <w:r>
        <w:t xml:space="preserve">Calcular para cada métrica la media de sus puntuaciones PRAGMATIC (0–3).  </w:t>
      </w:r>
    </w:p>
    <w:p>
      <w:pPr>
        <w:pStyle w:val="ListBullet"/>
        <w:keepLines w:val="1"/>
        <w:keepNext w:val="1"/>
        <w:widowControl w:val="1"/>
      </w:pPr>
      <w:r>
        <w:t xml:space="preserve">Usar un gráfico de burbujas o radar para visualizar qué métricas son más robustas.  </w:t>
      </w:r>
    </w:p>
    <w:p>
      <w:pPr>
        <w:pStyle w:val="ListBullet"/>
        <w:keepLines w:val="1"/>
        <w:widowControl w:val="1"/>
      </w:pPr>
      <w:r>
        <w:t>Decidir, por ejemplo, que solo se usarán para reporting ejecutivo aquellas métricas con media PRAGMATIC ≥ 2.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