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de TLPT</w:t>
      </w:r>
    </w:p>
    <w:p>
      <w:pPr>
        <w:pStyle w:val="Heading2"/>
        <w:keepNext/>
        <w:keepLines/>
      </w:pPr>
      <w:r>
        <w:rPr>
          <w:color w:val="0066CC"/>
        </w:rPr>
        <w:t>1. Estructura de hojas</w:t>
      </w:r>
    </w:p>
    <w:p>
      <w:r>
        <w:t>Se recomiendan al menos 4 hojas:</w:t>
      </w:r>
    </w:p>
    <w:p>
      <w:pPr>
        <w:pStyle w:val="ListNumber"/>
        <w:keepLines w:val="1"/>
        <w:keepNext w:val="1"/>
        <w:widowControl w:val="1"/>
      </w:pPr>
      <w:r>
        <w:t xml:space="preserve">Catalogo_Preguntas </w:t>
      </w:r>
    </w:p>
    <w:p>
      <w:pPr>
        <w:pStyle w:val="ListNumber"/>
        <w:keepLines w:val="1"/>
        <w:keepNext w:val="1"/>
        <w:widowControl w:val="1"/>
      </w:pPr>
      <w:r>
        <w:t xml:space="preserve">Respuestas_Entidad </w:t>
      </w:r>
    </w:p>
    <w:p>
      <w:pPr>
        <w:pStyle w:val="ListNumber"/>
        <w:keepLines w:val="1"/>
        <w:keepNext w:val="1"/>
        <w:widowControl w:val="1"/>
      </w:pPr>
      <w:r>
        <w:t xml:space="preserve">IGM_Dominios </w:t>
      </w:r>
    </w:p>
    <w:p>
      <w:pPr>
        <w:pStyle w:val="ListNumber"/>
        <w:keepLines w:val="1"/>
        <w:widowControl w:val="1"/>
      </w:pPr>
      <w:r>
        <w:t>ROI_TLPT</w:t>
      </w:r>
    </w:p>
    <w:p>
      <w:pPr>
        <w:pStyle w:val="Heading2"/>
        <w:keepNext/>
        <w:keepLines/>
      </w:pPr>
      <w:r>
        <w:rPr>
          <w:color w:val="0066CC"/>
        </w:rPr>
        <w:t>2. Hoja Catalogo_Preguntas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ID_Pregunta (p.ej., P04, P05, etc.)  </w:t>
      </w:r>
    </w:p>
    <w:p>
      <w:pPr>
        <w:pStyle w:val="ListBullet"/>
        <w:keepLines w:val="1"/>
        <w:keepNext w:val="1"/>
        <w:widowControl w:val="1"/>
      </w:pPr>
      <w:r>
        <w:t xml:space="preserve">Bloque (Gobierno, Alcance, Metodología, Operaciones, Remediación, Cultura)  </w:t>
      </w:r>
    </w:p>
    <w:p>
      <w:pPr>
        <w:pStyle w:val="ListBullet"/>
        <w:keepLines w:val="1"/>
        <w:keepNext w:val="1"/>
        <w:widowControl w:val="1"/>
      </w:pPr>
      <w:r>
        <w:t xml:space="preserve">Texto_Pregunta </w:t>
      </w:r>
    </w:p>
    <w:p>
      <w:pPr>
        <w:pStyle w:val="ListBullet"/>
        <w:keepLines w:val="1"/>
        <w:keepNext w:val="1"/>
        <w:widowControl w:val="1"/>
      </w:pPr>
      <w:r>
        <w:t xml:space="preserve">Opcion (1, 2, 3, 4...)  </w:t>
      </w:r>
    </w:p>
    <w:p>
      <w:pPr>
        <w:pStyle w:val="ListBullet"/>
        <w:keepLines w:val="1"/>
        <w:keepNext w:val="1"/>
        <w:widowControl w:val="1"/>
      </w:pPr>
      <w:r>
        <w:t xml:space="preserve">Descripcion_Opcion (resumen de la opción de respuesta)  </w:t>
      </w:r>
    </w:p>
    <w:p>
      <w:pPr>
        <w:pStyle w:val="ListBullet"/>
        <w:keepLines w:val="1"/>
        <w:widowControl w:val="1"/>
      </w:pPr>
      <w:r>
        <w:t xml:space="preserve">Puntuacion_0_3 (0, 1, 2, 3)  </w:t>
      </w:r>
    </w:p>
    <w:p>
      <w:r>
        <w:t xml:space="preserve">Cada fila representa una opción de respuesta con su puntuación.  </w:t>
      </w:r>
    </w:p>
    <w:p>
      <w:pPr>
        <w:pStyle w:val="Heading2"/>
        <w:keepNext/>
        <w:keepLines/>
      </w:pPr>
      <w:r>
        <w:rPr>
          <w:color w:val="0066CC"/>
        </w:rPr>
        <w:t>3. Hoja Respuestas_Entidad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ID_Pregunta </w:t>
      </w:r>
    </w:p>
    <w:p>
      <w:pPr>
        <w:pStyle w:val="ListBullet"/>
        <w:keepLines w:val="1"/>
        <w:keepNext w:val="1"/>
        <w:widowControl w:val="1"/>
      </w:pPr>
      <w:r>
        <w:t xml:space="preserve">Respuesta_Marcada (número de opción elegida)  </w:t>
      </w:r>
    </w:p>
    <w:p>
      <w:pPr>
        <w:pStyle w:val="ListBullet"/>
        <w:keepLines w:val="1"/>
        <w:keepNext w:val="1"/>
        <w:widowControl w:val="1"/>
      </w:pPr>
      <w:r>
        <w:t xml:space="preserve">Puntuacion_0_3 (BUSCARV en Catalogo_Preguntas)  </w:t>
      </w:r>
    </w:p>
    <w:p>
      <w:pPr>
        <w:pStyle w:val="ListBullet"/>
        <w:keepLines w:val="1"/>
        <w:widowControl w:val="1"/>
      </w:pPr>
      <w:r>
        <w:t>Bloque (arrastrado desde catálogo)</w:t>
      </w:r>
    </w:p>
    <w:p>
      <w:r>
        <w:t xml:space="preserve">Ejemplo de fórmula:  </w:t>
      </w:r>
    </w:p>
    <w:p>
      <w:pPr>
        <w:pStyle w:val="ListBullet"/>
        <w:keepLines w:val="1"/>
        <w:keepNext w:val="1"/>
        <w:widowControl w:val="1"/>
      </w:pPr>
      <w:r>
        <w:t xml:space="preserve">En Puntuacion_0_3, usar una fórmula tipo:  </w:t>
      </w:r>
    </w:p>
    <w:p>
      <w:pPr>
        <w:pStyle w:val="ListBullet"/>
        <w:keepLines w:val="1"/>
        <w:widowControl w:val="1"/>
      </w:pPr>
      <w:r>
        <w:t xml:space="preserve">=BUSCARX(1; (Catalogo_Preguntas!A:A=ID_Pregunta)*(Catalogo_Preguntas!D:D=Respuesta_Marcada); Catalogo_Preguntas!F:F) </w:t>
      </w:r>
    </w:p>
    <w:p>
      <w:r>
        <w:t>(Adaptar a la versión de Excel; se puede usar BUSCARV/ÍNDICE+COINCIDIR).</w:t>
      </w:r>
    </w:p>
    <w:p>
      <w:pPr>
        <w:pStyle w:val="Heading2"/>
        <w:keepNext/>
        <w:keepLines/>
      </w:pPr>
      <w:r>
        <w:rPr>
          <w:color w:val="0066CC"/>
        </w:rPr>
        <w:t>4. Hoja IGM_Dominios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Bloque </w:t>
      </w:r>
    </w:p>
    <w:p>
      <w:pPr>
        <w:pStyle w:val="ListBullet"/>
        <w:keepLines w:val="1"/>
        <w:keepNext w:val="1"/>
        <w:widowControl w:val="1"/>
      </w:pPr>
      <w:r>
        <w:t xml:space="preserve">Peso_Bloque (p.ej., Gobierno 15%, Alcance 20%, Metodología 20%, Operaciones 25%, Remediación 15%, Cultura 5%)  </w:t>
      </w:r>
    </w:p>
    <w:p>
      <w:pPr>
        <w:pStyle w:val="ListBullet"/>
        <w:keepLines w:val="1"/>
        <w:keepNext w:val="1"/>
        <w:widowControl w:val="1"/>
      </w:pPr>
      <w:r>
        <w:t xml:space="preserve">Puntuacion_Media_0_3 (promedio de puntuaciones 0–3 de las preguntas del bloque)  </w:t>
      </w:r>
    </w:p>
    <w:p>
      <w:pPr>
        <w:pStyle w:val="ListBullet"/>
        <w:keepLines w:val="1"/>
        <w:keepNext w:val="1"/>
        <w:widowControl w:val="1"/>
      </w:pPr>
      <w:r>
        <w:t xml:space="preserve">Puntuacion_Normalizada_0_100 = Puntuacion_Media_0_3 * 100 / 3 </w:t>
      </w:r>
    </w:p>
    <w:p>
      <w:pPr>
        <w:pStyle w:val="ListBullet"/>
        <w:keepLines w:val="1"/>
        <w:widowControl w:val="1"/>
      </w:pPr>
      <w:r>
        <w:t>Contribucion_IGM = Puntuacion_Normalizada_0_100 * Peso_Bloque</w:t>
      </w:r>
    </w:p>
    <w:p>
      <w:r>
        <w:t xml:space="preserve">En una celda resumen, </w:t>
      </w:r>
      <w:r>
        <w:rPr>
          <w:rFonts w:ascii="Courier New" w:hAnsi="Courier New"/>
          <w:sz w:val="18"/>
        </w:rPr>
        <w:t>IGM_Global</w:t>
      </w:r>
      <w:r>
        <w:t xml:space="preserve"> = suma de </w:t>
      </w:r>
      <w:r>
        <w:rPr>
          <w:rFonts w:ascii="Courier New" w:hAnsi="Courier New"/>
          <w:sz w:val="18"/>
        </w:rPr>
        <w:t>Contribucion_IGM</w:t>
      </w:r>
      <w:r>
        <w:t xml:space="preserve"> de todos los bloques.</w:t>
      </w:r>
    </w:p>
    <w:p>
      <w:pPr>
        <w:pStyle w:val="Heading2"/>
        <w:keepNext/>
        <w:keepLines/>
      </w:pPr>
      <w:r>
        <w:rPr>
          <w:color w:val="0066CC"/>
        </w:rPr>
        <w:t>5. Hoja ROI_TLPT</w:t>
      </w:r>
    </w:p>
    <w:p>
      <w:pPr>
        <w:pStyle w:val="Heading3"/>
        <w:keepNext/>
        <w:keepLines/>
      </w:pPr>
      <w:r>
        <w:t>5.1 Variables de entrada</w:t>
      </w:r>
    </w:p>
    <w:p>
      <w:r>
        <w:t>Columnas/celdas de entrada:</w:t>
      </w:r>
    </w:p>
    <w:p>
      <w:pPr>
        <w:pStyle w:val="ListBullet"/>
        <w:keepLines w:val="1"/>
        <w:keepNext w:val="1"/>
        <w:widowControl w:val="1"/>
      </w:pPr>
      <w:r>
        <w:t xml:space="preserve">Coste_TLPT (honorarios Red Team, TTI, gestión interna, otros).  </w:t>
      </w:r>
    </w:p>
    <w:p>
      <w:pPr>
        <w:pStyle w:val="ListBullet"/>
        <w:keepLines w:val="1"/>
        <w:keepNext w:val="1"/>
        <w:widowControl w:val="1"/>
      </w:pPr>
      <w:r>
        <w:t xml:space="preserve">Coste_Acciones_Remediacion (CAPEX/OPEX de proyectos derivados del TLPT).  </w:t>
      </w:r>
    </w:p>
    <w:p>
      <w:pPr>
        <w:pStyle w:val="ListBullet"/>
        <w:keepLines w:val="1"/>
        <w:keepNext w:val="1"/>
        <w:widowControl w:val="1"/>
      </w:pPr>
      <w:r>
        <w:t xml:space="preserve">Perdidas_Previstas_Evitadas (estimación, basada en reducción de probabilidad/impacto de incidentes, usando modelos de riesgo operativ).  </w:t>
      </w:r>
    </w:p>
    <w:p>
      <w:pPr>
        <w:pStyle w:val="ListBullet"/>
        <w:keepLines w:val="1"/>
        <w:widowControl w:val="1"/>
      </w:pPr>
      <w:r>
        <w:t xml:space="preserve">Ahorros_Regulatorios (multas evitadas, capital regulatorio optimizado, etc., si procede).[web:26]  </w:t>
      </w:r>
    </w:p>
    <w:p>
      <w:pPr>
        <w:pStyle w:val="Heading3"/>
        <w:keepNext/>
        <w:keepLines/>
      </w:pPr>
      <w:r>
        <w:t>5.2 Cálculo simplificado de ROI</w:t>
      </w:r>
    </w:p>
    <w:p>
      <w:pPr>
        <w:pStyle w:val="ListBullet"/>
        <w:keepLines w:val="1"/>
        <w:keepNext w:val="1"/>
        <w:widowControl w:val="1"/>
      </w:pPr>
      <w:r>
        <w:t xml:space="preserve">Beneficio_Total = Perdidas_Previstas_Evitadas + Ahorros_Regulatorios </w:t>
      </w:r>
    </w:p>
    <w:p>
      <w:pPr>
        <w:pStyle w:val="ListBullet"/>
        <w:keepLines w:val="1"/>
        <w:widowControl w:val="1"/>
      </w:pPr>
      <w:r>
        <w:t xml:space="preserve">Coste_Total = Coste_TLPT + Coste_Acciones_Remediacion </w:t>
      </w:r>
    </w:p>
    <w:p>
      <w:r>
        <w:t>ROI clásico:</w:t>
      </w:r>
    </w:p>
    <w:p>
      <w:pPr>
        <w:pStyle w:val="ListBullet"/>
        <w:keepLines w:val="1"/>
        <w:widowControl w:val="1"/>
      </w:pPr>
      <w:r>
        <w:t>ROI_TLPT = (Beneficio_Total - Coste_Total) / Coste_Total</w:t>
      </w:r>
    </w:p>
    <w:p>
      <w:r>
        <w:t>Para facilitar lectura, crear celdas con:</w:t>
      </w:r>
    </w:p>
    <w:p>
      <w:pPr>
        <w:pStyle w:val="ListBullet"/>
        <w:keepLines w:val="1"/>
        <w:keepNext w:val="1"/>
        <w:widowControl w:val="1"/>
      </w:pPr>
      <w:r>
        <w:t xml:space="preserve">ROI en porcentaje (formato %).  </w:t>
      </w:r>
    </w:p>
    <w:p>
      <w:pPr>
        <w:pStyle w:val="ListBullet"/>
        <w:keepLines w:val="1"/>
        <w:keepNext w:val="1"/>
        <w:widowControl w:val="1"/>
      </w:pPr>
      <w:r>
        <w:t xml:space="preserve">Interpretación cualitativa (usar fórmula con SI anidados):  </w:t>
      </w:r>
    </w:p>
    <w:p>
      <w:pPr>
        <w:pStyle w:val="ListBullet"/>
        <w:keepLines w:val="1"/>
        <w:keepNext w:val="1"/>
        <w:widowControl w:val="1"/>
      </w:pPr>
      <w:r>
        <w:t xml:space="preserve">ROI &lt; 0 → “ROI aparente negativo (revisar supuestos y horizonte temporal)”.  </w:t>
      </w:r>
    </w:p>
    <w:p>
      <w:pPr>
        <w:pStyle w:val="ListBullet"/>
        <w:keepLines w:val="1"/>
        <w:keepNext w:val="1"/>
        <w:widowControl w:val="1"/>
      </w:pPr>
      <w:r>
        <w:t xml:space="preserve">0–50% → “ROI moderado: resiliencia como seguro razonable”.  </w:t>
      </w:r>
    </w:p>
    <w:p>
      <w:pPr>
        <w:pStyle w:val="ListBullet"/>
        <w:keepLines w:val="1"/>
        <w:widowControl w:val="1"/>
      </w:pPr>
      <w:r>
        <w:br/>
        <w:br/>
        <w:t>50% → “ROI alto: TLPT claramente rentable según los supuestos”.</w:t>
        <w:br/>
        <w:br/>
      </w:r>
    </w:p>
    <w:p>
      <w:r>
        <w:t>50% → “ROI alto: TLPT claramente rentable según los supuestos”.</w:t>
      </w:r>
    </w:p>
    <w:p>
      <w:pPr>
        <w:pStyle w:val="Heading3"/>
        <w:keepNext/>
        <w:keepLines/>
      </w:pPr>
      <w:r>
        <w:t>5.3 Vinculación con IGM</w:t>
      </w:r>
    </w:p>
    <w:p>
      <w:r>
        <w:t>Se puede añadir un gráfico que compare:</w:t>
      </w:r>
    </w:p>
    <w:p>
      <w:pPr>
        <w:pStyle w:val="ListBullet"/>
        <w:keepLines w:val="1"/>
        <w:keepNext w:val="1"/>
        <w:widowControl w:val="1"/>
      </w:pPr>
      <w:r>
        <w:t xml:space="preserve">IGM_Global vs. ROI_TLPT.  </w:t>
      </w:r>
    </w:p>
    <w:p>
      <w:pPr>
        <w:pStyle w:val="ListBullet"/>
        <w:keepLines w:val="1"/>
        <w:widowControl w:val="1"/>
      </w:pPr>
      <w:r>
        <w:t>Cambios de IGM entre ciclos vs. variaciones en pérdidas reales por incidentes, para apoyar la narrativa de que la resiliencia “paga” a medio plazo.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