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TLPT (estructura para PowerPoint)</w:t>
      </w:r>
    </w:p>
    <w:p>
      <w:pPr>
        <w:pStyle w:val="Heading2"/>
        <w:keepNext/>
        <w:keepLines/>
      </w:pPr>
      <w:r>
        <w:rPr>
          <w:color w:val="0066CC"/>
        </w:rPr>
        <w:t>Diapositiva 1: Portada</w:t>
      </w:r>
    </w:p>
    <w:p>
      <w:pPr>
        <w:pStyle w:val="ListBullet"/>
        <w:keepLines w:val="1"/>
        <w:keepNext w:val="1"/>
        <w:widowControl w:val="1"/>
      </w:pPr>
      <w:r>
        <w:t xml:space="preserve">Título: “Resultados del Ejercicio TLPT / TIBER-ES – [Nombre de la entidad] – [Año]”  </w:t>
      </w:r>
    </w:p>
    <w:p>
      <w:pPr>
        <w:pStyle w:val="ListBullet"/>
        <w:keepLines w:val="1"/>
        <w:keepNext w:val="1"/>
        <w:widowControl w:val="1"/>
      </w:pPr>
      <w:r>
        <w:t xml:space="preserve">Subtítulo: “Ciberresiliencia bajo el paraguas de DORA”  </w:t>
      </w:r>
    </w:p>
    <w:p>
      <w:pPr>
        <w:pStyle w:val="ListBullet"/>
        <w:keepLines w:val="1"/>
        <w:widowControl w:val="1"/>
      </w:pPr>
      <w:r>
        <w:t>Datos básicos: fecha, responsables, logo.</w:t>
      </w:r>
    </w:p>
    <w:p>
      <w:pPr>
        <w:pStyle w:val="Heading2"/>
        <w:keepNext/>
        <w:keepLines/>
      </w:pPr>
      <w:r>
        <w:rPr>
          <w:color w:val="0066CC"/>
        </w:rPr>
        <w:t>Diapositiva 2: Contexto y objetivos</w:t>
      </w:r>
    </w:p>
    <w:p>
      <w:pPr>
        <w:pStyle w:val="ListBullet"/>
        <w:keepLines w:val="1"/>
        <w:keepNext w:val="1"/>
        <w:widowControl w:val="1"/>
      </w:pPr>
      <w:r>
        <w:t xml:space="preserve">Breve descripción de DORA, RTS TLPT y TIBER-ES (1–2 bullets).[web:16][web:38]  </w:t>
      </w:r>
    </w:p>
    <w:p>
      <w:pPr>
        <w:pStyle w:val="ListBullet"/>
        <w:keepLines w:val="1"/>
        <w:keepNext w:val="1"/>
        <w:widowControl w:val="1"/>
      </w:pPr>
      <w:r>
        <w:t xml:space="preserve">Objetivos del ejercicio: probar funciones críticas, evaluar detección y respuesta, validar planes de remediación.  </w:t>
      </w:r>
    </w:p>
    <w:p>
      <w:pPr>
        <w:pStyle w:val="ListBullet"/>
        <w:keepLines w:val="1"/>
        <w:widowControl w:val="1"/>
      </w:pPr>
      <w:r>
        <w:t>Alcance temporal (ventana de Red Team, duración total).</w:t>
      </w:r>
    </w:p>
    <w:p>
      <w:pPr>
        <w:pStyle w:val="Heading2"/>
        <w:keepNext/>
        <w:keepLines/>
      </w:pPr>
      <w:r>
        <w:rPr>
          <w:color w:val="0066CC"/>
        </w:rPr>
        <w:t>Diapositiva 3: Alcance del ejercicio</w:t>
      </w:r>
    </w:p>
    <w:p>
      <w:pPr>
        <w:pStyle w:val="ListBullet"/>
        <w:keepLines w:val="1"/>
        <w:keepNext w:val="1"/>
        <w:widowControl w:val="1"/>
      </w:pPr>
      <w:r>
        <w:t xml:space="preserve">Funciones críticas en alcance (lista breve o gráfico).  </w:t>
      </w:r>
    </w:p>
    <w:p>
      <w:pPr>
        <w:pStyle w:val="ListBullet"/>
        <w:keepLines w:val="1"/>
        <w:keepNext w:val="1"/>
        <w:widowControl w:val="1"/>
      </w:pPr>
      <w:r>
        <w:t xml:space="preserve">Principales sistemas y servicios TIC (incluyendo terceros, si aplica).[web:39]  </w:t>
      </w:r>
    </w:p>
    <w:p>
      <w:pPr>
        <w:pStyle w:val="ListBullet"/>
        <w:keepLines w:val="1"/>
        <w:widowControl w:val="1"/>
      </w:pPr>
      <w:r>
        <w:t>Tipo de pruebas: TTI, Red Team en producción, Purple Team, re-test.</w:t>
      </w:r>
    </w:p>
    <w:p>
      <w:pPr>
        <w:pStyle w:val="Heading2"/>
        <w:keepNext/>
        <w:keepLines/>
      </w:pPr>
      <w:r>
        <w:rPr>
          <w:color w:val="0066CC"/>
        </w:rPr>
        <w:t>Diapositiva 4: Gobierno y metodología</w:t>
      </w:r>
    </w:p>
    <w:p>
      <w:pPr>
        <w:pStyle w:val="ListBullet"/>
        <w:keepLines w:val="1"/>
        <w:keepNext w:val="1"/>
        <w:widowControl w:val="1"/>
      </w:pPr>
      <w:r>
        <w:t xml:space="preserve">Roles clave (White/Control, Red Team, Blue Team).  </w:t>
      </w:r>
    </w:p>
    <w:p>
      <w:pPr>
        <w:pStyle w:val="ListBullet"/>
        <w:keepLines w:val="1"/>
        <w:keepNext w:val="1"/>
        <w:widowControl w:val="1"/>
      </w:pPr>
      <w:r>
        <w:t xml:space="preserve">Uso de TTI específica (sí/no y resumen).  </w:t>
      </w:r>
    </w:p>
    <w:p>
      <w:pPr>
        <w:pStyle w:val="ListBullet"/>
        <w:keepLines w:val="1"/>
        <w:widowControl w:val="1"/>
      </w:pPr>
      <w:r>
        <w:t>Duración de la fase activa de Red Team (mencionando la referencia ≥12 semanas).[web:16]</w:t>
      </w:r>
    </w:p>
    <w:p>
      <w:pPr>
        <w:pStyle w:val="Heading2"/>
        <w:keepNext/>
        <w:keepLines/>
      </w:pPr>
      <w:r>
        <w:rPr>
          <w:color w:val="0066CC"/>
        </w:rPr>
        <w:t>Diapositiva 5: Hallazgos clave (visión ejecutiva)</w:t>
      </w:r>
    </w:p>
    <w:p>
      <w:pPr>
        <w:pStyle w:val="ListBullet"/>
        <w:keepLines w:val="1"/>
        <w:keepNext w:val="1"/>
        <w:widowControl w:val="1"/>
      </w:pPr>
      <w:r>
        <w:t xml:space="preserve">Número y severidad de hallazgos (críticos, altos, medios, bajos).  </w:t>
      </w:r>
    </w:p>
    <w:p>
      <w:pPr>
        <w:pStyle w:val="ListBullet"/>
        <w:keepLines w:val="1"/>
        <w:keepNext w:val="1"/>
        <w:widowControl w:val="1"/>
      </w:pPr>
      <w:r>
        <w:t xml:space="preserve">Temas recurrentes (identidades, segmentación, detección, terceros, etc.).  </w:t>
      </w:r>
    </w:p>
    <w:p>
      <w:pPr>
        <w:pStyle w:val="ListBullet"/>
        <w:keepLines w:val="1"/>
        <w:widowControl w:val="1"/>
      </w:pPr>
      <w:r>
        <w:t>Riesgos más significativos para la continuidad del negocio.</w:t>
      </w:r>
    </w:p>
    <w:p>
      <w:pPr>
        <w:pStyle w:val="Heading2"/>
        <w:keepNext/>
        <w:keepLines/>
      </w:pPr>
      <w:r>
        <w:rPr>
          <w:color w:val="0066CC"/>
        </w:rPr>
        <w:t>Diapositiva 6: Indicadores operativos (MTTD, MTTR)</w:t>
      </w:r>
    </w:p>
    <w:p>
      <w:pPr>
        <w:pStyle w:val="ListBullet"/>
        <w:keepLines w:val="1"/>
        <w:keepNext w:val="1"/>
        <w:widowControl w:val="1"/>
      </w:pPr>
      <w:r>
        <w:t xml:space="preserve">MTTD frente a ejercicios TLPT (por categoría de escenario).  </w:t>
      </w:r>
    </w:p>
    <w:p>
      <w:pPr>
        <w:pStyle w:val="ListBullet"/>
        <w:keepLines w:val="1"/>
        <w:keepNext w:val="1"/>
        <w:widowControl w:val="1"/>
      </w:pPr>
      <w:r>
        <w:t xml:space="preserve">MTTR estimado o simulado.  </w:t>
      </w:r>
    </w:p>
    <w:p>
      <w:pPr>
        <w:pStyle w:val="ListBullet"/>
        <w:keepLines w:val="1"/>
        <w:widowControl w:val="1"/>
      </w:pPr>
      <w:r>
        <w:t xml:space="preserve">Porcentaje de actividades del Red Team detectadas.  </w:t>
      </w:r>
    </w:p>
    <w:p>
      <w:pPr>
        <w:pStyle w:val="Heading2"/>
        <w:keepNext/>
        <w:keepLines/>
      </w:pPr>
      <w:r>
        <w:rPr>
          <w:color w:val="0066CC"/>
        </w:rPr>
        <w:t>Diapositiva 7: Madurez comparada (IGM)</w:t>
      </w:r>
    </w:p>
    <w:p>
      <w:pPr>
        <w:pStyle w:val="ListBullet"/>
        <w:keepLines w:val="1"/>
        <w:keepNext w:val="1"/>
        <w:widowControl w:val="1"/>
      </w:pPr>
      <w:r>
        <w:t xml:space="preserve">IGM global de la entidad (gráfico tipo velocímetro o barra).  </w:t>
      </w:r>
    </w:p>
    <w:p>
      <w:pPr>
        <w:pStyle w:val="ListBullet"/>
        <w:keepLines w:val="1"/>
        <w:keepNext w:val="1"/>
        <w:widowControl w:val="1"/>
      </w:pPr>
      <w:r>
        <w:t xml:space="preserve">Comparación con benchmark sectorial (si se dispone).  </w:t>
      </w:r>
    </w:p>
    <w:p>
      <w:pPr>
        <w:pStyle w:val="ListBullet"/>
        <w:keepLines w:val="1"/>
        <w:widowControl w:val="1"/>
      </w:pPr>
      <w:r>
        <w:t>Dominios más débiles y más sólidos (Gobierno, Alcance, Operaciones, etc.).</w:t>
      </w:r>
    </w:p>
    <w:p>
      <w:pPr>
        <w:pStyle w:val="Heading2"/>
        <w:keepNext/>
        <w:keepLines/>
      </w:pPr>
      <w:r>
        <w:rPr>
          <w:color w:val="0066CC"/>
        </w:rPr>
        <w:t>Diapositiva 8: Plan de remediación</w:t>
      </w:r>
    </w:p>
    <w:p>
      <w:pPr>
        <w:pStyle w:val="ListBullet"/>
        <w:keepLines w:val="1"/>
        <w:keepNext w:val="1"/>
        <w:widowControl w:val="1"/>
      </w:pPr>
      <w:r>
        <w:t xml:space="preserve">Principales iniciativas derivadas del TLPT (proyectos, quick wins).  </w:t>
      </w:r>
    </w:p>
    <w:p>
      <w:pPr>
        <w:pStyle w:val="ListBullet"/>
        <w:keepLines w:val="1"/>
        <w:keepNext w:val="1"/>
        <w:widowControl w:val="1"/>
      </w:pPr>
      <w:r>
        <w:t xml:space="preserve">Plazos y responsables.  </w:t>
      </w:r>
    </w:p>
    <w:p>
      <w:pPr>
        <w:pStyle w:val="ListBullet"/>
        <w:keepLines w:val="1"/>
        <w:widowControl w:val="1"/>
      </w:pPr>
      <w:r>
        <w:t>Estado de avance (si es un informe de seguimiento).</w:t>
      </w:r>
    </w:p>
    <w:p>
      <w:pPr>
        <w:pStyle w:val="Heading2"/>
        <w:keepNext/>
        <w:keepLines/>
      </w:pPr>
      <w:r>
        <w:rPr>
          <w:color w:val="0066CC"/>
        </w:rPr>
        <w:t>Diapositiva 9: Estimación de ROI y beneficios</w:t>
      </w:r>
    </w:p>
    <w:p>
      <w:pPr>
        <w:pStyle w:val="ListBullet"/>
        <w:keepLines w:val="1"/>
        <w:keepNext w:val="1"/>
        <w:widowControl w:val="1"/>
      </w:pPr>
      <w:r>
        <w:t xml:space="preserve">Resumen de inversiones TLC (TLPT + remediación).  </w:t>
      </w:r>
    </w:p>
    <w:p>
      <w:pPr>
        <w:pStyle w:val="ListBullet"/>
        <w:keepLines w:val="1"/>
        <w:keepNext w:val="1"/>
        <w:widowControl w:val="1"/>
      </w:pPr>
      <w:r>
        <w:t xml:space="preserve">Estimación cualitativa/cuantitativa de pérdidas evitadas.  </w:t>
      </w:r>
    </w:p>
    <w:p>
      <w:pPr>
        <w:pStyle w:val="ListBullet"/>
        <w:keepLines w:val="1"/>
        <w:widowControl w:val="1"/>
      </w:pPr>
      <w:r>
        <w:t>Mensaje: “La resiliencia como estrategia, no solo como coste”.</w:t>
      </w:r>
    </w:p>
    <w:p>
      <w:pPr>
        <w:pStyle w:val="Heading2"/>
        <w:keepNext/>
        <w:keepLines/>
      </w:pPr>
      <w:r>
        <w:rPr>
          <w:color w:val="0066CC"/>
        </w:rPr>
        <w:t>Diapositiva 10: Lecciones aprendidas y próximos pasos</w:t>
      </w:r>
    </w:p>
    <w:p>
      <w:pPr>
        <w:pStyle w:val="ListBullet"/>
        <w:keepLines w:val="1"/>
        <w:keepNext w:val="1"/>
        <w:widowControl w:val="1"/>
      </w:pPr>
      <w:r>
        <w:t xml:space="preserve">3–5 lecciones clave.  </w:t>
      </w:r>
    </w:p>
    <w:p>
      <w:pPr>
        <w:pStyle w:val="ListBullet"/>
        <w:keepLines w:val="1"/>
        <w:keepNext w:val="1"/>
        <w:widowControl w:val="1"/>
      </w:pPr>
      <w:r>
        <w:t xml:space="preserve">Recomendaciones para el siguiente ciclo (próximo TLPT, pruebas intermedias, ejercicios sectoriales).  </w:t>
      </w:r>
    </w:p>
    <w:p>
      <w:pPr>
        <w:pStyle w:val="ListBullet"/>
        <w:keepLines w:val="1"/>
        <w:widowControl w:val="1"/>
      </w:pPr>
      <w:r>
        <w:t>Cierre con mensaje de cultura de resiliencia continua.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