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TLPT – con enfoque GQM/PRAGMATIC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 xml:space="preserve">Título: “Resultados TLPT &amp; Resiliencia Digital – [Entidad] – [Año]”.  </w:t>
      </w:r>
    </w:p>
    <w:p>
      <w:pPr>
        <w:pStyle w:val="ListBullet"/>
        <w:keepLines w:val="1"/>
        <w:keepNext w:val="1"/>
        <w:widowControl w:val="1"/>
      </w:pPr>
      <w:r>
        <w:t xml:space="preserve">Subtítulo: “Del ataque simulado al aprendizaje real (bajo DORA)”.[web:16]  </w:t>
      </w:r>
    </w:p>
    <w:p>
      <w:pPr>
        <w:pStyle w:val="ListBullet"/>
        <w:keepLines w:val="1"/>
        <w:widowControl w:val="1"/>
      </w:pPr>
      <w:r>
        <w:t>Datos: fecha, responsables, logos.</w:t>
      </w:r>
    </w:p>
    <w:p>
      <w:pPr>
        <w:pStyle w:val="Heading2"/>
        <w:keepNext/>
        <w:keepLines/>
      </w:pPr>
      <w:r>
        <w:rPr>
          <w:color w:val="0066CC"/>
        </w:rPr>
        <w:t>Diapositiva 2 – Objetivos (Goals G1–G5)</w:t>
      </w:r>
    </w:p>
    <w:p>
      <w:pPr>
        <w:pStyle w:val="ListBullet"/>
        <w:keepLines w:val="1"/>
        <w:keepNext w:val="1"/>
        <w:widowControl w:val="1"/>
      </w:pPr>
      <w:r>
        <w:t xml:space="preserve">Resumen de los objetivos estratégicos: G1–G5 (Cobertura, Reacción, Mejora, Gobernanza, ROI).  </w:t>
      </w:r>
    </w:p>
    <w:p>
      <w:pPr>
        <w:pStyle w:val="ListBullet"/>
        <w:keepLines w:val="1"/>
        <w:keepNext w:val="1"/>
        <w:widowControl w:val="1"/>
      </w:pPr>
      <w:r>
        <w:t xml:space="preserve">Mensaje clave: “Las métricas se han diseñado siguiendo el marco GQM”.  </w:t>
      </w:r>
    </w:p>
    <w:p>
      <w:pPr>
        <w:pStyle w:val="ListBullet"/>
        <w:keepLines w:val="1"/>
        <w:widowControl w:val="1"/>
      </w:pPr>
      <w:r>
        <w:t>Nota lateral: referencia a DORA/RTS y TIBER‑ES como marcos regulatorios.</w:t>
      </w:r>
    </w:p>
    <w:p>
      <w:pPr>
        <w:pStyle w:val="Heading2"/>
        <w:keepNext/>
        <w:keepLines/>
      </w:pPr>
      <w:r>
        <w:rPr>
          <w:color w:val="0066CC"/>
        </w:rPr>
        <w:t>Diapositiva 3 – Escenario TLPT (scope &amp; contexto)</w:t>
      </w:r>
    </w:p>
    <w:p>
      <w:pPr>
        <w:pStyle w:val="ListBullet"/>
        <w:keepLines w:val="1"/>
        <w:keepNext w:val="1"/>
        <w:widowControl w:val="1"/>
      </w:pPr>
      <w:r>
        <w:t xml:space="preserve">Alcance del ejercicio: nº de funciones críticas, servicios TIC, geografías.  </w:t>
      </w:r>
    </w:p>
    <w:p>
      <w:pPr>
        <w:pStyle w:val="ListBullet"/>
        <w:keepLines w:val="1"/>
        <w:keepNext w:val="1"/>
        <w:widowControl w:val="1"/>
      </w:pPr>
      <w:r>
        <w:t xml:space="preserve">Participantes: Red Team, Blue Team, White/Control Team, TTI provider.[web:38]  </w:t>
      </w:r>
    </w:p>
    <w:p>
      <w:pPr>
        <w:pStyle w:val="ListBullet"/>
        <w:keepLines w:val="1"/>
        <w:widowControl w:val="1"/>
      </w:pPr>
      <w:r>
        <w:t>Mapa conceptual de relaciones (entidad – terceros – infraestructuras).</w:t>
      </w:r>
    </w:p>
    <w:p>
      <w:pPr>
        <w:pStyle w:val="Heading2"/>
        <w:keepNext/>
        <w:keepLines/>
      </w:pPr>
      <w:r>
        <w:rPr>
          <w:color w:val="0066CC"/>
        </w:rPr>
        <w:t>Diapositiva 4 – Cobertura (M1–M3)</w:t>
      </w:r>
    </w:p>
    <w:p>
      <w:pPr>
        <w:pStyle w:val="ListBullet"/>
        <w:keepLines w:val="1"/>
        <w:keepNext w:val="1"/>
        <w:widowControl w:val="1"/>
      </w:pPr>
      <w:r>
        <w:t xml:space="preserve">Gráfico de barras: % funciones críticas cubiertas (M1).  </w:t>
      </w:r>
    </w:p>
    <w:p>
      <w:pPr>
        <w:pStyle w:val="ListBullet"/>
        <w:keepLines w:val="1"/>
        <w:keepNext w:val="1"/>
        <w:widowControl w:val="1"/>
      </w:pPr>
      <w:r>
        <w:t xml:space="preserve">Gráfico adicional: % servicios TIC críticos incluidos (M2).  </w:t>
      </w:r>
    </w:p>
    <w:p>
      <w:pPr>
        <w:pStyle w:val="ListBullet"/>
        <w:keepLines w:val="1"/>
        <w:widowControl w:val="1"/>
      </w:pPr>
      <w:r>
        <w:t>Indicador semafórico: grado de uso de producción (M3).</w:t>
      </w:r>
    </w:p>
    <w:p>
      <w:r>
        <w:t>Mensaje sugerido:</w:t>
      </w:r>
      <w:r/>
      <w:r>
        <w:br/>
        <w:t>“Estamos cubriendo X % de las funciones críticas; todavía hay Y % que viven en la zona de sombra.”</w:t>
      </w:r>
    </w:p>
    <w:p>
      <w:pPr>
        <w:pStyle w:val="Heading2"/>
        <w:keepNext/>
        <w:keepLines/>
      </w:pPr>
      <w:r>
        <w:rPr>
          <w:color w:val="0066CC"/>
        </w:rPr>
        <w:t>Diapositiva 5 – Calidad de la prueba (M4–M5)</w:t>
      </w:r>
    </w:p>
    <w:p>
      <w:pPr>
        <w:pStyle w:val="ListBullet"/>
        <w:keepLines w:val="1"/>
        <w:keepNext w:val="1"/>
        <w:widowControl w:val="1"/>
      </w:pPr>
      <w:r>
        <w:t xml:space="preserve">Nº y % de escenarios TTI ejercitados (M4).  </w:t>
      </w:r>
    </w:p>
    <w:p>
      <w:pPr>
        <w:pStyle w:val="ListBullet"/>
        <w:keepLines w:val="1"/>
        <w:keepNext w:val="1"/>
        <w:widowControl w:val="1"/>
      </w:pPr>
      <w:r>
        <w:t xml:space="preserve">Duración de la fase de Red Team frente a referencia ≥12 semanas (M5).[web:16]  </w:t>
      </w:r>
    </w:p>
    <w:p>
      <w:pPr>
        <w:pStyle w:val="ListBullet"/>
        <w:keepLines w:val="1"/>
        <w:widowControl w:val="1"/>
      </w:pPr>
      <w:r>
        <w:t>Comentario: “¿Estamos haciendo TLPT de verdad o un pentest vitaminado?”</w:t>
      </w:r>
    </w:p>
    <w:p>
      <w:pPr>
        <w:pStyle w:val="Heading2"/>
        <w:keepNext/>
        <w:keepLines/>
      </w:pPr>
      <w:r>
        <w:rPr>
          <w:color w:val="0066CC"/>
        </w:rPr>
        <w:t>Diapositiva 6 – Capacidad de detección (M6–M7)</w:t>
      </w:r>
    </w:p>
    <w:p>
      <w:pPr>
        <w:pStyle w:val="ListBullet"/>
        <w:keepLines w:val="1"/>
        <w:keepNext w:val="1"/>
        <w:widowControl w:val="1"/>
      </w:pPr>
      <w:r>
        <w:t xml:space="preserve">MTTD en horas/días (M6), comparado con objetivo interno.  </w:t>
      </w:r>
    </w:p>
    <w:p>
      <w:pPr>
        <w:pStyle w:val="ListBullet"/>
        <w:keepLines w:val="1"/>
        <w:keepNext w:val="1"/>
        <w:widowControl w:val="1"/>
      </w:pPr>
      <w:r>
        <w:t xml:space="preserve">% de acciones del Red Team detectadas (M7).  </w:t>
      </w:r>
    </w:p>
    <w:p>
      <w:pPr>
        <w:pStyle w:val="ListBullet"/>
        <w:keepLines w:val="1"/>
        <w:widowControl w:val="1"/>
      </w:pPr>
      <w:r>
        <w:t>Breve análisis: vectores donde la detección fue más débil.</w:t>
      </w:r>
    </w:p>
    <w:p>
      <w:pPr>
        <w:pStyle w:val="Heading2"/>
        <w:keepNext/>
        <w:keepLines/>
      </w:pPr>
      <w:r>
        <w:rPr>
          <w:color w:val="0066CC"/>
        </w:rPr>
        <w:t>Diapositiva 7 – Respuesta y recuperación (M8a–M8b)</w:t>
      </w:r>
    </w:p>
    <w:p>
      <w:pPr>
        <w:pStyle w:val="ListBullet"/>
        <w:keepLines w:val="1"/>
        <w:keepNext w:val="1"/>
        <w:widowControl w:val="1"/>
      </w:pPr>
      <w:r>
        <w:t xml:space="preserve">MTTC y MTTR (M8a/M8b) por función crítica principal.  </w:t>
      </w:r>
    </w:p>
    <w:p>
      <w:pPr>
        <w:pStyle w:val="ListBullet"/>
        <w:keepLines w:val="1"/>
        <w:keepNext w:val="1"/>
        <w:widowControl w:val="1"/>
      </w:pPr>
      <w:r>
        <w:t xml:space="preserve">Nota sobre coherencia con BCP/DRP y pruebas de continuidad.[web:26]  </w:t>
      </w:r>
    </w:p>
    <w:p>
      <w:pPr>
        <w:pStyle w:val="ListBullet"/>
        <w:keepLines w:val="1"/>
        <w:widowControl w:val="1"/>
      </w:pPr>
      <w:r>
        <w:t>Mensaje: “No basta con detectar; hay que volver a levantarse a tiempo.”</w:t>
      </w:r>
    </w:p>
    <w:p>
      <w:pPr>
        <w:pStyle w:val="Heading2"/>
        <w:keepNext/>
        <w:keepLines/>
      </w:pPr>
      <w:r>
        <w:rPr>
          <w:color w:val="0066CC"/>
        </w:rPr>
        <w:t>Diapositiva 8 – Hallazgos y remediación (M9–M11)</w:t>
      </w:r>
    </w:p>
    <w:p>
      <w:pPr>
        <w:pStyle w:val="ListBullet"/>
        <w:keepLines w:val="1"/>
        <w:keepNext w:val="1"/>
        <w:widowControl w:val="1"/>
      </w:pPr>
      <w:r>
        <w:t xml:space="preserve">Nº y % de hallazgos críticos/altos (M9).  </w:t>
      </w:r>
    </w:p>
    <w:p>
      <w:pPr>
        <w:pStyle w:val="ListBullet"/>
        <w:keepLines w:val="1"/>
        <w:keepNext w:val="1"/>
        <w:widowControl w:val="1"/>
      </w:pPr>
      <w:r>
        <w:t xml:space="preserve">% de remediación en plazo (M10).  </w:t>
      </w:r>
    </w:p>
    <w:p>
      <w:pPr>
        <w:pStyle w:val="ListBullet"/>
        <w:keepLines w:val="1"/>
        <w:widowControl w:val="1"/>
      </w:pPr>
      <w:r>
        <w:t xml:space="preserve">% de hallazgos recurrentes (M11).  </w:t>
      </w:r>
    </w:p>
    <w:p>
      <w:r>
        <w:t>Mensaje sugerido:</w:t>
      </w:r>
      <w:r/>
      <w:r>
        <w:br/>
        <w:t>“Cuando una vulnerabilidad reaparece, no es un fallo técnico, es un hábito organizativo.”</w:t>
      </w:r>
    </w:p>
    <w:p>
      <w:pPr>
        <w:pStyle w:val="Heading2"/>
        <w:keepNext/>
        <w:keepLines/>
      </w:pPr>
      <w:r>
        <w:rPr>
          <w:color w:val="0066CC"/>
        </w:rPr>
        <w:t>Diapositiva 9 – Madurez agregada (IGM)</w:t>
      </w:r>
    </w:p>
    <w:p>
      <w:pPr>
        <w:pStyle w:val="ListBullet"/>
        <w:keepLines w:val="1"/>
        <w:keepNext w:val="1"/>
        <w:widowControl w:val="1"/>
      </w:pPr>
      <w:r>
        <w:t xml:space="preserve">IGM Global (0–100) y desglose por dominios (Cobertura, Metodología, Operaciones, Remediación, Gobernanza, Economía).  </w:t>
      </w:r>
    </w:p>
    <w:p>
      <w:pPr>
        <w:pStyle w:val="ListBullet"/>
        <w:keepLines w:val="1"/>
        <w:keepNext w:val="1"/>
        <w:widowControl w:val="1"/>
      </w:pPr>
      <w:r>
        <w:t xml:space="preserve">Visualización tipo radar o barras.  </w:t>
      </w:r>
    </w:p>
    <w:p>
      <w:pPr>
        <w:pStyle w:val="ListBullet"/>
        <w:keepLines w:val="1"/>
        <w:widowControl w:val="1"/>
      </w:pPr>
      <w:r>
        <w:t>Breve comentario de fortalezas y debilidades.</w:t>
      </w:r>
    </w:p>
    <w:p>
      <w:pPr>
        <w:pStyle w:val="Heading2"/>
        <w:keepNext/>
        <w:keepLines/>
      </w:pPr>
      <w:r>
        <w:rPr>
          <w:color w:val="0066CC"/>
        </w:rPr>
        <w:t>Diapositiva 10 – Perspectiva económica (M14–M16)</w:t>
      </w:r>
    </w:p>
    <w:p>
      <w:pPr>
        <w:pStyle w:val="ListBullet"/>
        <w:keepLines w:val="1"/>
        <w:keepNext w:val="1"/>
        <w:widowControl w:val="1"/>
      </w:pPr>
      <w:r>
        <w:t xml:space="preserve">Coste TLPT (M14) y costes de remediación principales.  </w:t>
      </w:r>
    </w:p>
    <w:p>
      <w:pPr>
        <w:pStyle w:val="ListBullet"/>
        <w:keepLines w:val="1"/>
        <w:keepNext w:val="1"/>
        <w:widowControl w:val="1"/>
      </w:pPr>
      <w:r>
        <w:t xml:space="preserve">Estimación de pérdidas evitadas (M15) y ROI (M16).  </w:t>
      </w:r>
    </w:p>
    <w:p>
      <w:pPr>
        <w:pStyle w:val="ListBullet"/>
        <w:keepLines w:val="1"/>
        <w:widowControl w:val="1"/>
      </w:pPr>
      <w:r>
        <w:t>Nota: “Las cifras son estimaciones prudentes, no promesas de marketing.”</w:t>
      </w:r>
    </w:p>
    <w:p>
      <w:pPr>
        <w:pStyle w:val="Heading2"/>
        <w:keepNext/>
        <w:keepLines/>
      </w:pPr>
      <w:r>
        <w:rPr>
          <w:color w:val="0066CC"/>
        </w:rPr>
        <w:t>Diapositiva 11 – Plan de acción y próximas decisiones</w:t>
      </w:r>
    </w:p>
    <w:p>
      <w:pPr>
        <w:pStyle w:val="ListBullet"/>
        <w:keepLines w:val="1"/>
        <w:keepNext w:val="1"/>
        <w:widowControl w:val="1"/>
      </w:pPr>
      <w:r>
        <w:t xml:space="preserve">3–5 decisiones prioritarias derivadas de las métricas (por ejemplo, reforzar SOC, segmentación, gestión de terceros).  </w:t>
      </w:r>
    </w:p>
    <w:p>
      <w:pPr>
        <w:pStyle w:val="ListBullet"/>
        <w:keepLines w:val="1"/>
        <w:keepNext w:val="1"/>
        <w:widowControl w:val="1"/>
      </w:pPr>
      <w:r>
        <w:t xml:space="preserve">Propuesta de calendario para el siguiente ciclo TLPT o ejercicio sectorial.  </w:t>
      </w:r>
    </w:p>
    <w:p>
      <w:pPr>
        <w:pStyle w:val="ListBullet"/>
        <w:keepLines w:val="1"/>
        <w:widowControl w:val="1"/>
      </w:pPr>
      <w:r>
        <w:t>Recomendación de cómo integrar las lecciones en el plan de inversiones y en la planificación plurianual.</w:t>
      </w:r>
    </w:p>
    <w:p>
      <w:pPr>
        <w:pStyle w:val="Heading2"/>
        <w:keepNext/>
        <w:keepLines/>
      </w:pPr>
      <w:r>
        <w:rPr>
          <w:color w:val="0066CC"/>
        </w:rPr>
        <w:t>Diapositiva 12 – Anexo técnico (opcional)</w:t>
      </w:r>
    </w:p>
    <w:p>
      <w:pPr>
        <w:pStyle w:val="ListBullet"/>
        <w:keepLines w:val="1"/>
        <w:keepNext w:val="1"/>
        <w:widowControl w:val="1"/>
      </w:pPr>
      <w:r>
        <w:t xml:space="preserve">Definiciones clave de métricas (M1–M16).  </w:t>
      </w:r>
    </w:p>
    <w:p>
      <w:pPr>
        <w:pStyle w:val="ListBullet"/>
        <w:keepLines w:val="1"/>
        <w:keepNext w:val="1"/>
        <w:widowControl w:val="1"/>
      </w:pPr>
      <w:r>
        <w:t xml:space="preserve">Referencias normativas (DORA, RTS TLPT, TIBER‑ES).  </w:t>
      </w:r>
    </w:p>
    <w:p>
      <w:pPr>
        <w:pStyle w:val="ListBullet"/>
        <w:keepLines w:val="1"/>
        <w:widowControl w:val="1"/>
      </w:pPr>
      <w:r>
        <w:t>Puntuación PRAGMATIC de las métricas usadas en el informe.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