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TLPT</w:t>
      </w:r>
    </w:p>
    <w:p>
      <w:pPr>
        <w:pStyle w:val="Heading2"/>
        <w:keepNext/>
        <w:keepLines/>
      </w:pPr>
      <w:r>
        <w:rPr>
          <w:color w:val="0066CC"/>
        </w:rPr>
        <w:t>1. Qué incluye este kit</w:t>
      </w:r>
    </w:p>
    <w:p>
      <w:pPr>
        <w:pStyle w:val="ListNumber"/>
        <w:keepLines w:val="1"/>
        <w:keepNext w:val="1"/>
        <w:widowControl w:val="1"/>
      </w:pPr>
      <w:r>
        <w:t xml:space="preserve">01-marco-GQM-PRAGMATIC-TLPT.md </w:t>
      </w:r>
    </w:p>
    <w:p>
      <w:pPr>
        <w:pStyle w:val="ListNumber"/>
        <w:keepLines w:val="1"/>
        <w:keepNext w:val="1"/>
        <w:widowControl w:val="1"/>
      </w:pPr>
      <w:r>
        <w:t xml:space="preserve">Define objetivos G1–G5, preguntas GQM y métricas M1–M16.  </w:t>
      </w:r>
    </w:p>
    <w:p>
      <w:pPr>
        <w:pStyle w:val="ListNumber"/>
        <w:keepLines w:val="1"/>
        <w:keepNext w:val="1"/>
        <w:widowControl w:val="1"/>
      </w:pPr>
      <w:r>
        <w:t xml:space="preserve">02-matriz-evaluacion-PRAGMATIC-TLPT.md </w:t>
      </w:r>
    </w:p>
    <w:p>
      <w:pPr>
        <w:pStyle w:val="ListNumber"/>
        <w:keepLines w:val="1"/>
        <w:keepNext w:val="1"/>
        <w:widowControl w:val="1"/>
      </w:pPr>
      <w:r>
        <w:t xml:space="preserve">Matriz PRAGMATIC con valoración orientativa de cada métrica.  </w:t>
      </w:r>
    </w:p>
    <w:p>
      <w:pPr>
        <w:pStyle w:val="ListNumber"/>
        <w:keepLines w:val="1"/>
        <w:keepNext w:val="1"/>
        <w:widowControl w:val="1"/>
      </w:pPr>
      <w:r>
        <w:t xml:space="preserve">03-narrativa-explicativa-GQM-PRAGMATIC-TLPT.md </w:t>
      </w:r>
    </w:p>
    <w:p>
      <w:pPr>
        <w:pStyle w:val="ListNumber"/>
        <w:keepLines w:val="1"/>
        <w:keepNext w:val="1"/>
        <w:widowControl w:val="1"/>
      </w:pPr>
      <w:r>
        <w:t xml:space="preserve">Explica el sentido del marco, su conexión con DORA/TIBER‑ES y cómo usarlo.  </w:t>
      </w:r>
    </w:p>
    <w:p>
      <w:pPr>
        <w:pStyle w:val="ListNumber"/>
        <w:keepLines w:val="1"/>
        <w:keepNext w:val="1"/>
        <w:widowControl w:val="1"/>
      </w:pPr>
      <w:r>
        <w:t xml:space="preserve">04-mapeo-GQM-PRAGMATIC-normativa-TLPT.md </w:t>
      </w:r>
    </w:p>
    <w:p>
      <w:pPr>
        <w:pStyle w:val="ListNumber"/>
        <w:keepLines w:val="1"/>
        <w:keepNext w:val="1"/>
        <w:widowControl w:val="1"/>
      </w:pPr>
      <w:r>
        <w:t xml:space="preserve">Tabla que vincula cada métrica con artículos/secciones relevantes de DORA, RTS TLPT y TIBER‑ES.[web:16][web:38]  </w:t>
      </w:r>
    </w:p>
    <w:p>
      <w:pPr>
        <w:pStyle w:val="ListNumber"/>
        <w:keepLines w:val="1"/>
        <w:keepNext w:val="1"/>
        <w:widowControl w:val="1"/>
      </w:pPr>
      <w:r>
        <w:t xml:space="preserve">05-plantilla-excel-IGM-ROI-GQM-PRAGMATIC.md </w:t>
      </w:r>
    </w:p>
    <w:p>
      <w:pPr>
        <w:pStyle w:val="ListNumber"/>
        <w:keepLines w:val="1"/>
        <w:keepNext w:val="1"/>
        <w:widowControl w:val="1"/>
      </w:pPr>
      <w:r>
        <w:t xml:space="preserve">Guía para construir en Excel el IGM global y el ROI TLPT.  </w:t>
      </w:r>
    </w:p>
    <w:p>
      <w:pPr>
        <w:pStyle w:val="ListNumber"/>
        <w:keepLines w:val="1"/>
        <w:keepNext w:val="1"/>
        <w:widowControl w:val="1"/>
      </w:pPr>
      <w:r>
        <w:t xml:space="preserve">06-reporte-ejecutivo-TLPT-GQM-PRAGMATIC-PPT.md </w:t>
      </w:r>
    </w:p>
    <w:p>
      <w:pPr>
        <w:pStyle w:val="ListNumber"/>
        <w:keepLines w:val="1"/>
        <w:keepNext w:val="1"/>
        <w:widowControl w:val="1"/>
      </w:pPr>
      <w:r>
        <w:t xml:space="preserve">Esqueleto de presentación ejecutiva para comités y supervisores.  </w:t>
      </w:r>
    </w:p>
    <w:p>
      <w:pPr>
        <w:pStyle w:val="ListNumber"/>
        <w:keepLines w:val="1"/>
        <w:keepNext w:val="1"/>
        <w:widowControl w:val="1"/>
      </w:pPr>
      <w:r>
        <w:t xml:space="preserve">07-README-kit-GQM-PRAGMATIC-TLPT.md </w:t>
      </w:r>
    </w:p>
    <w:p>
      <w:pPr>
        <w:pStyle w:val="ListNumber"/>
        <w:keepLines w:val="1"/>
        <w:widowControl w:val="1"/>
      </w:pPr>
      <w:r>
        <w:t>Este documento.</w:t>
      </w:r>
    </w:p>
    <w:p>
      <w:pPr>
        <w:pStyle w:val="Heading2"/>
        <w:keepNext/>
        <w:keepLines/>
      </w:pPr>
      <w:r>
        <w:rPr>
          <w:color w:val="0066CC"/>
        </w:rPr>
        <w:t>2. Público objetivo</w:t>
      </w:r>
    </w:p>
    <w:p>
      <w:pPr>
        <w:pStyle w:val="ListBullet"/>
        <w:keepLines w:val="1"/>
        <w:keepNext w:val="1"/>
        <w:widowControl w:val="1"/>
      </w:pPr>
      <w:r>
        <w:t xml:space="preserve">Equipos de ciberseguridad, riesgos y continuidad de entidades sujetas a DORA.  </w:t>
      </w:r>
    </w:p>
    <w:p>
      <w:pPr>
        <w:pStyle w:val="ListBullet"/>
        <w:keepLines w:val="1"/>
        <w:keepNext w:val="1"/>
        <w:widowControl w:val="1"/>
      </w:pPr>
      <w:r>
        <w:t xml:space="preserve">Órganos de supervisión que quieran armonizar métricas TLPT a nivel nacional/sectorial.[web:16][web:26]  </w:t>
      </w:r>
    </w:p>
    <w:p>
      <w:pPr>
        <w:pStyle w:val="ListBullet"/>
        <w:keepLines w:val="1"/>
        <w:widowControl w:val="1"/>
      </w:pPr>
      <w:r>
        <w:t xml:space="preserve">Asociaciones sectoriales que deseen construir benchmarks de resiliencia.  </w:t>
      </w:r>
    </w:p>
    <w:p>
      <w:pPr>
        <w:pStyle w:val="Heading2"/>
        <w:keepNext/>
        <w:keepLines/>
      </w:pPr>
      <w:r>
        <w:rPr>
          <w:color w:val="0066CC"/>
        </w:rPr>
        <w:t>3. Uso recomendado (ruta rápida)</w:t>
      </w:r>
    </w:p>
    <w:p>
      <w:pPr>
        <w:pStyle w:val="ListNumber"/>
        <w:keepLines w:val="1"/>
        <w:keepNext w:val="1"/>
        <w:widowControl w:val="1"/>
      </w:pPr>
      <w:r>
        <w:t xml:space="preserve">Seleccionar subconjunto de métricas M1–M16 que la entidad pueda medir con calidad aceptable (PRAGMATIC ≥ 2 de media).  </w:t>
      </w:r>
    </w:p>
    <w:p>
      <w:pPr>
        <w:pStyle w:val="ListNumber"/>
        <w:keepLines w:val="1"/>
        <w:keepNext w:val="1"/>
        <w:widowControl w:val="1"/>
      </w:pPr>
      <w:r>
        <w:t xml:space="preserve">Implementar la hoja Excel IGM/ROI y alimentar los valores tras cada TLPT.  </w:t>
      </w:r>
    </w:p>
    <w:p>
      <w:pPr>
        <w:pStyle w:val="ListNumber"/>
        <w:keepLines w:val="1"/>
        <w:keepNext w:val="1"/>
        <w:widowControl w:val="1"/>
      </w:pPr>
      <w:r>
        <w:t xml:space="preserve">Usar el reporte ejecutivo para “traducir” resultados técnicos a lenguaje de negocio.  </w:t>
      </w:r>
    </w:p>
    <w:p>
      <w:pPr>
        <w:pStyle w:val="ListNumber"/>
        <w:keepLines w:val="1"/>
        <w:widowControl w:val="1"/>
      </w:pPr>
      <w:r>
        <w:t>Revisar anualmente las métricas (alta/baja) según su utilidad real y coste de obtención.</w:t>
      </w:r>
    </w:p>
    <w:p>
      <w:pPr>
        <w:pStyle w:val="Heading2"/>
        <w:keepNext/>
        <w:keepLines/>
      </w:pPr>
      <w:r>
        <w:rPr>
          <w:color w:val="0066CC"/>
        </w:rPr>
        <w:t>4. Alineamiento normativo</w:t>
      </w:r>
    </w:p>
    <w:p>
      <w:r>
        <w:t>El kit está diseñado para ser compatible con:</w:t>
      </w:r>
    </w:p>
    <w:p>
      <w:pPr>
        <w:pStyle w:val="ListBullet"/>
        <w:keepLines w:val="1"/>
        <w:keepNext w:val="1"/>
        <w:widowControl w:val="1"/>
      </w:pPr>
      <w:r>
        <w:t xml:space="preserve">DORA (Reglamento (UE) 2022/2554) – artículos sobre gobierno TIC, pruebas de resiliencia, gestión de terceros e incidentes.[web:26]  </w:t>
      </w:r>
    </w:p>
    <w:p>
      <w:pPr>
        <w:pStyle w:val="ListBullet"/>
        <w:keepLines w:val="1"/>
        <w:keepNext w:val="1"/>
        <w:widowControl w:val="1"/>
      </w:pPr>
      <w:r>
        <w:t xml:space="preserve">RTS conjuntos de las ESAs sobre TLPT (JC 2024‑29) – criterios de selección, metodología, duración, cierre, attestation.[web:16]  </w:t>
      </w:r>
    </w:p>
    <w:p>
      <w:pPr>
        <w:pStyle w:val="ListBullet"/>
        <w:keepLines w:val="1"/>
        <w:widowControl w:val="1"/>
      </w:pPr>
      <w:r>
        <w:t>TIBER‑EU y TIBER‑ES – guías operativas para TTI, Red Team, cierre y remediación.[web:38]</w:t>
      </w:r>
    </w:p>
    <w:p>
      <w:r>
        <w:t>No reemplaza ningún requisito oficial, pero ayuda a estructurar la conversación entre entidades y autoridades.</w:t>
      </w:r>
    </w:p>
    <w:p>
      <w:pPr>
        <w:pStyle w:val="Heading2"/>
        <w:keepNext/>
        <w:keepLines/>
      </w:pPr>
      <w:r>
        <w:rPr>
          <w:color w:val="0066CC"/>
        </w:rPr>
        <w:t>5. Licencia interna y estilo</w:t>
      </w:r>
    </w:p>
    <w:p>
      <w:pPr>
        <w:pStyle w:val="ListBullet"/>
        <w:keepLines w:val="1"/>
        <w:keepNext w:val="1"/>
        <w:widowControl w:val="1"/>
      </w:pPr>
      <w:r>
        <w:t xml:space="preserve">Puede adaptarse libremente dentro de la organización o a nivel sectorial, manteniendo la trazabilidad a los marcos normativos mencionados.  </w:t>
      </w:r>
    </w:p>
    <w:p>
      <w:pPr>
        <w:pStyle w:val="ListBullet"/>
        <w:keepLines w:val="1"/>
        <w:widowControl w:val="1"/>
      </w:pPr>
      <w:r>
        <w:t>Las descripciones con tono irónico son opcionales; si hay riesgo de choque cultural, siempre cabe ofrecer una versión “modo notario”.</w:t>
      </w:r>
    </w:p>
    <w:p>
      <w:pPr>
        <w:pStyle w:val="Heading2"/>
        <w:keepNext/>
        <w:keepLines/>
      </w:pPr>
      <w:r>
        <w:rPr>
          <w:color w:val="0066CC"/>
        </w:rPr>
        <w:t>6. Próximos pasos sugeridos</w:t>
      </w:r>
    </w:p>
    <w:p>
      <w:pPr>
        <w:pStyle w:val="ListBullet"/>
        <w:keepLines w:val="1"/>
        <w:keepNext w:val="1"/>
        <w:widowControl w:val="1"/>
      </w:pPr>
      <w:r>
        <w:t xml:space="preserve">Integrar este kit con la encuesta TLPT previamente diseñada, de manera que las respuestas alimenten automáticamente algunas métricas M1–M13.  </w:t>
      </w:r>
    </w:p>
    <w:p>
      <w:pPr>
        <w:pStyle w:val="ListBullet"/>
        <w:keepLines w:val="1"/>
        <w:keepNext w:val="1"/>
        <w:widowControl w:val="1"/>
      </w:pPr>
      <w:r>
        <w:t xml:space="preserve">Probar el marco en un piloto (1–3 entidades) antes de una adopción sectorial más amplia.  </w:t>
      </w:r>
    </w:p>
    <w:p>
      <w:pPr>
        <w:pStyle w:val="ListBullet"/>
        <w:keepLines w:val="1"/>
        <w:widowControl w:val="1"/>
      </w:pPr>
      <w:r>
        <w:t>Documentar lecciones aprendidas y ajustar pesos de dominios, escalas de normalización y selección de métricas.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