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AEF2E8" w14:textId="77777777" w:rsidR="00A915A8" w:rsidRPr="009D3AA7" w:rsidRDefault="00000000">
      <w:pPr>
        <w:pStyle w:val="Ttulo1"/>
        <w:rPr>
          <w:lang w:val="es-ES"/>
        </w:rPr>
      </w:pPr>
      <w:r w:rsidRPr="009D3AA7">
        <w:rPr>
          <w:color w:val="003366"/>
          <w:lang w:val="es-ES"/>
        </w:rPr>
        <w:t>Informe TLPT.</w:t>
      </w:r>
    </w:p>
    <w:p w14:paraId="0F1A522C" w14:textId="77777777" w:rsidR="00A915A8" w:rsidRPr="009D3AA7" w:rsidRDefault="00000000">
      <w:pPr>
        <w:rPr>
          <w:lang w:val="es-ES"/>
        </w:rPr>
      </w:pPr>
      <w:r w:rsidRPr="009D3AA7">
        <w:rPr>
          <w:lang w:val="es-ES"/>
        </w:rPr>
        <w:t xml:space="preserve">La TLPT, hija díscola de DORA y hermana del TIBER‑EU, se está convirtiendo en un lenguaje común de “ciber‑estrés test” a escala europea, y España ya juega en primera división con TIBER‑ES y con los RTS conjuntos de las </w:t>
      </w:r>
      <w:proofErr w:type="spellStart"/>
      <w:r w:rsidRPr="009D3AA7">
        <w:rPr>
          <w:lang w:val="es-ES"/>
        </w:rPr>
        <w:t>ESAs</w:t>
      </w:r>
      <w:proofErr w:type="spellEnd"/>
      <w:r w:rsidRPr="009D3AA7">
        <w:rPr>
          <w:lang w:val="es-ES"/>
        </w:rPr>
        <w:t xml:space="preserve"> de 2024 como partitura oficial.</w:t>
      </w:r>
      <w:r>
        <w:footnoteReference w:id="1"/>
      </w:r>
      <w:r>
        <w:footnoteReference w:id="2"/>
      </w:r>
    </w:p>
    <w:p w14:paraId="463AC441" w14:textId="77777777" w:rsidR="00A915A8" w:rsidRPr="009D3AA7" w:rsidRDefault="00000000">
      <w:pPr>
        <w:pStyle w:val="Ttulo2"/>
        <w:rPr>
          <w:lang w:val="es-ES"/>
        </w:rPr>
      </w:pPr>
      <w:r w:rsidRPr="009D3AA7">
        <w:rPr>
          <w:color w:val="0066CC"/>
          <w:lang w:val="es-ES"/>
        </w:rPr>
        <w:t>1. Marco normativo TLPT 2025+ (España y mundo)</w:t>
      </w:r>
    </w:p>
    <w:p w14:paraId="5787D4E4" w14:textId="77777777" w:rsidR="00A915A8" w:rsidRPr="009D3AA7" w:rsidRDefault="00000000">
      <w:pPr>
        <w:pStyle w:val="Listaconvietas"/>
        <w:keepNext/>
        <w:keepLines/>
        <w:rPr>
          <w:lang w:val="es-ES"/>
        </w:rPr>
      </w:pPr>
      <w:r w:rsidRPr="009D3AA7">
        <w:rPr>
          <w:lang w:val="es-ES"/>
        </w:rPr>
        <w:t>DORA convierte la TLPT en prueba avanzada obligatoria para entidades financieras sistémicas y otras que superen umbrales cuantitativos, con aplicación desde enero de 2025 y frecuencia habitual trienal.341</w:t>
      </w:r>
    </w:p>
    <w:p w14:paraId="10FF2285" w14:textId="77777777" w:rsidR="00A915A8" w:rsidRPr="009D3AA7" w:rsidRDefault="00000000">
      <w:pPr>
        <w:pStyle w:val="Listaconvietas"/>
        <w:keepNext/>
        <w:keepLines/>
        <w:rPr>
          <w:lang w:val="es-ES"/>
        </w:rPr>
      </w:pPr>
      <w:r w:rsidRPr="009D3AA7">
        <w:rPr>
          <w:lang w:val="es-ES"/>
        </w:rPr>
        <w:t xml:space="preserve">El RTS conjunto de las </w:t>
      </w:r>
      <w:proofErr w:type="spellStart"/>
      <w:r w:rsidRPr="009D3AA7">
        <w:rPr>
          <w:lang w:val="es-ES"/>
        </w:rPr>
        <w:t>ESAs</w:t>
      </w:r>
      <w:proofErr w:type="spellEnd"/>
      <w:r w:rsidRPr="009D3AA7">
        <w:rPr>
          <w:lang w:val="es-ES"/>
        </w:rPr>
        <w:t xml:space="preserve"> de julio 2024 concreta criterios de selección, metodología, fases, requisitos de </w:t>
      </w:r>
      <w:proofErr w:type="spellStart"/>
      <w:r w:rsidRPr="009D3AA7">
        <w:rPr>
          <w:lang w:val="es-ES"/>
        </w:rPr>
        <w:t>testers</w:t>
      </w:r>
      <w:proofErr w:type="spellEnd"/>
      <w:r w:rsidRPr="009D3AA7">
        <w:rPr>
          <w:lang w:val="es-ES"/>
        </w:rPr>
        <w:t xml:space="preserve"> internos/externos, uso de inteligencia de amenazas y cooperación supervisora, constituyendo el estándar mínimo de TLPT bajo DORA.213</w:t>
      </w:r>
    </w:p>
    <w:p w14:paraId="26DC0D2D" w14:textId="77777777" w:rsidR="00A915A8" w:rsidRPr="009D3AA7" w:rsidRDefault="00000000">
      <w:pPr>
        <w:pStyle w:val="Listaconvietas"/>
        <w:keepNext/>
        <w:keepLines/>
        <w:rPr>
          <w:lang w:val="es-ES"/>
        </w:rPr>
      </w:pPr>
      <w:r w:rsidRPr="009D3AA7">
        <w:rPr>
          <w:lang w:val="es-ES"/>
        </w:rPr>
        <w:t xml:space="preserve">España adopta TIBER‑EU mediante TIBER‑ES (Guía de implementación 2022, Banco de España), manteniendo la lógica de tres fases (preparación, test, cierre), trabajo sobre entornos de producción y proveedores externos de TI y Red </w:t>
      </w:r>
      <w:proofErr w:type="spellStart"/>
      <w:r w:rsidRPr="009D3AA7">
        <w:rPr>
          <w:lang w:val="es-ES"/>
        </w:rPr>
        <w:t>Team</w:t>
      </w:r>
      <w:proofErr w:type="spellEnd"/>
      <w:r w:rsidRPr="009D3AA7">
        <w:rPr>
          <w:lang w:val="es-ES"/>
        </w:rPr>
        <w:t>, ahora armonizable con DORA.2</w:t>
      </w:r>
    </w:p>
    <w:p w14:paraId="62F24E6A" w14:textId="77777777" w:rsidR="00A915A8" w:rsidRPr="009D3AA7" w:rsidRDefault="00000000">
      <w:pPr>
        <w:pStyle w:val="Listaconvietas"/>
        <w:keepLines/>
        <w:rPr>
          <w:lang w:val="es-ES"/>
        </w:rPr>
      </w:pPr>
      <w:r w:rsidRPr="009D3AA7">
        <w:rPr>
          <w:lang w:val="es-ES"/>
        </w:rPr>
        <w:t>Varios países de la UE (NL, IE, DE, FR, IT, PT, SE, etc.) ya tenían marcos TIBER nacionales y los están alineando con los RTS TLPT, mientras que fuera de la UE predominan marcos equivalentes tipo CBEST (Reino Unido) o esquemas sectoriales basados en NIST/</w:t>
      </w:r>
      <w:proofErr w:type="gramStart"/>
      <w:r w:rsidRPr="009D3AA7">
        <w:rPr>
          <w:lang w:val="es-ES"/>
        </w:rPr>
        <w:t>OSSTMM</w:t>
      </w:r>
      <w:proofErr w:type="gramEnd"/>
      <w:r w:rsidRPr="009D3AA7">
        <w:rPr>
          <w:lang w:val="es-ES"/>
        </w:rPr>
        <w:t xml:space="preserve"> pero sin un RTS tan detallado.512</w:t>
      </w:r>
    </w:p>
    <w:p w14:paraId="04B714E6" w14:textId="77777777" w:rsidR="00A915A8" w:rsidRPr="009D3AA7" w:rsidRDefault="00000000">
      <w:pPr>
        <w:rPr>
          <w:lang w:val="es-ES"/>
        </w:rPr>
      </w:pPr>
      <w:r w:rsidRPr="009D3AA7">
        <w:rPr>
          <w:b/>
          <w:lang w:val="es-ES"/>
        </w:rPr>
        <w:t>Idea de mensaje para encuesta (tono irónico‑constructivo):</w:t>
      </w:r>
    </w:p>
    <w:p w14:paraId="7EA96D9A" w14:textId="77777777" w:rsidR="00A915A8" w:rsidRPr="009D3AA7" w:rsidRDefault="00000000">
      <w:pPr>
        <w:pStyle w:val="Listaconvietas"/>
        <w:keepLines/>
        <w:rPr>
          <w:lang w:val="es-ES"/>
        </w:rPr>
      </w:pPr>
      <w:r w:rsidRPr="009D3AA7">
        <w:rPr>
          <w:lang w:val="es-ES"/>
        </w:rPr>
        <w:t xml:space="preserve">“Hemos pasado de jugar pachangas de </w:t>
      </w:r>
      <w:proofErr w:type="spellStart"/>
      <w:r w:rsidRPr="009D3AA7">
        <w:rPr>
          <w:lang w:val="es-ES"/>
        </w:rPr>
        <w:t>pentest</w:t>
      </w:r>
      <w:proofErr w:type="spellEnd"/>
      <w:r w:rsidRPr="009D3AA7">
        <w:rPr>
          <w:lang w:val="es-ES"/>
        </w:rPr>
        <w:t xml:space="preserve"> a la Champions League de la ciberresiliencia: ahora el reglamento viene numerado, firmado por las </w:t>
      </w:r>
      <w:proofErr w:type="spellStart"/>
      <w:r w:rsidRPr="009D3AA7">
        <w:rPr>
          <w:lang w:val="es-ES"/>
        </w:rPr>
        <w:t>ESAs</w:t>
      </w:r>
      <w:proofErr w:type="spellEnd"/>
      <w:r w:rsidRPr="009D3AA7">
        <w:rPr>
          <w:lang w:val="es-ES"/>
        </w:rPr>
        <w:t xml:space="preserve"> y con acta del TIBER‑ES.”</w:t>
      </w:r>
    </w:p>
    <w:p w14:paraId="44DEBA09" w14:textId="77777777" w:rsidR="00A915A8" w:rsidRPr="009D3AA7" w:rsidRDefault="00000000">
      <w:pPr>
        <w:pStyle w:val="Ttulo2"/>
        <w:rPr>
          <w:lang w:val="es-ES"/>
        </w:rPr>
      </w:pPr>
      <w:r w:rsidRPr="009D3AA7">
        <w:rPr>
          <w:color w:val="0066CC"/>
          <w:lang w:val="es-ES"/>
        </w:rPr>
        <w:t>2. Fases TLPT y familias de indicadores</w:t>
      </w:r>
    </w:p>
    <w:p w14:paraId="2F93C64F" w14:textId="77777777" w:rsidR="00A915A8" w:rsidRPr="009D3AA7" w:rsidRDefault="00000000">
      <w:pPr>
        <w:pStyle w:val="Ttulo3"/>
        <w:rPr>
          <w:lang w:val="es-ES"/>
        </w:rPr>
      </w:pPr>
      <w:r w:rsidRPr="009D3AA7">
        <w:rPr>
          <w:lang w:val="es-ES"/>
        </w:rPr>
        <w:t>2.1 Fase de preparación</w:t>
      </w:r>
    </w:p>
    <w:p w14:paraId="532B92C6" w14:textId="77777777" w:rsidR="00A915A8" w:rsidRPr="009D3AA7" w:rsidRDefault="00000000">
      <w:pPr>
        <w:rPr>
          <w:lang w:val="es-ES"/>
        </w:rPr>
      </w:pPr>
      <w:r w:rsidRPr="009D3AA7">
        <w:rPr>
          <w:lang w:val="es-ES"/>
        </w:rPr>
        <w:t xml:space="preserve">Según TIBER‑ES y los RTS DORA, la preparación incluye: constitución de White/Control </w:t>
      </w:r>
      <w:proofErr w:type="spellStart"/>
      <w:r w:rsidRPr="009D3AA7">
        <w:rPr>
          <w:lang w:val="es-ES"/>
        </w:rPr>
        <w:t>Team</w:t>
      </w:r>
      <w:proofErr w:type="spellEnd"/>
      <w:r w:rsidRPr="009D3AA7">
        <w:rPr>
          <w:lang w:val="es-ES"/>
        </w:rPr>
        <w:t>, selección de proveedores, definición de alcance basado en funciones críticas, gestión de riesgos, planificación.</w:t>
      </w:r>
      <w:r>
        <w:footnoteReference w:id="3"/>
      </w:r>
      <w:r>
        <w:footnoteReference w:id="4"/>
      </w:r>
    </w:p>
    <w:p w14:paraId="49AA9A1C" w14:textId="77777777" w:rsidR="00A915A8" w:rsidRDefault="00000000">
      <w:r>
        <w:t>Familias de métricas:</w:t>
      </w:r>
    </w:p>
    <w:p w14:paraId="30E6F864" w14:textId="77777777" w:rsidR="00A915A8" w:rsidRPr="009D3AA7" w:rsidRDefault="00000000">
      <w:pPr>
        <w:pStyle w:val="Listaconvietas"/>
        <w:keepNext/>
        <w:keepLines/>
        <w:rPr>
          <w:lang w:val="es-ES"/>
        </w:rPr>
      </w:pPr>
      <w:r w:rsidRPr="009D3AA7">
        <w:rPr>
          <w:lang w:val="es-ES"/>
        </w:rPr>
        <w:lastRenderedPageBreak/>
        <w:t>Alcance y criticidad</w:t>
      </w:r>
      <w:r w:rsidRPr="009D3AA7">
        <w:rPr>
          <w:lang w:val="es-ES"/>
        </w:rPr>
        <w:br/>
        <w:t>Porcentaje de funciones críticas de negocio cubiertas por el TLPT sobre el total de funciones críticas identificadas en el BIA.62</w:t>
      </w:r>
      <w:r w:rsidRPr="009D3AA7">
        <w:rPr>
          <w:lang w:val="es-ES"/>
        </w:rPr>
        <w:br/>
        <w:t>Número de servicios críticos soportados por terceros TIC incluidos en el test frente al total de servicios críticos externalizados.26</w:t>
      </w:r>
      <w:r w:rsidRPr="009D3AA7">
        <w:rPr>
          <w:lang w:val="es-ES"/>
        </w:rPr>
        <w:br/>
      </w:r>
      <w:r w:rsidRPr="009D3AA7">
        <w:rPr>
          <w:lang w:val="es-ES"/>
        </w:rPr>
        <w:br/>
      </w:r>
    </w:p>
    <w:p w14:paraId="27D3F477" w14:textId="77777777" w:rsidR="00A915A8" w:rsidRPr="009D3AA7" w:rsidRDefault="00000000">
      <w:pPr>
        <w:pStyle w:val="Listaconvietas"/>
        <w:keepNext/>
        <w:keepLines/>
        <w:rPr>
          <w:lang w:val="es-ES"/>
        </w:rPr>
      </w:pPr>
      <w:r w:rsidRPr="009D3AA7">
        <w:rPr>
          <w:lang w:val="es-ES"/>
        </w:rPr>
        <w:t>Gobierno y madurez</w:t>
      </w:r>
      <w:r w:rsidRPr="009D3AA7">
        <w:rPr>
          <w:lang w:val="es-ES"/>
        </w:rPr>
        <w:br/>
        <w:t>Tiempo desde la notificación de obligación de TLPT por la autoridad hasta la designación formal del Control/White Team.12</w:t>
      </w:r>
      <w:r w:rsidRPr="009D3AA7">
        <w:rPr>
          <w:lang w:val="es-ES"/>
        </w:rPr>
        <w:br/>
        <w:t xml:space="preserve">Existencia de política formal de uso de </w:t>
      </w:r>
      <w:proofErr w:type="spellStart"/>
      <w:r w:rsidRPr="009D3AA7">
        <w:rPr>
          <w:lang w:val="es-ES"/>
        </w:rPr>
        <w:t>testers</w:t>
      </w:r>
      <w:proofErr w:type="spellEnd"/>
      <w:r w:rsidRPr="009D3AA7">
        <w:rPr>
          <w:lang w:val="es-ES"/>
        </w:rPr>
        <w:t xml:space="preserve"> internos (cuando se aplique DORA, con los requisitos específicos de política, recursos y mitigación de impacto sobre operaciones).1</w:t>
      </w:r>
      <w:r w:rsidRPr="009D3AA7">
        <w:rPr>
          <w:lang w:val="es-ES"/>
        </w:rPr>
        <w:br/>
      </w:r>
      <w:r w:rsidRPr="009D3AA7">
        <w:rPr>
          <w:lang w:val="es-ES"/>
        </w:rPr>
        <w:br/>
      </w:r>
    </w:p>
    <w:p w14:paraId="09562E6F" w14:textId="77777777" w:rsidR="00A915A8" w:rsidRPr="009D3AA7" w:rsidRDefault="00000000">
      <w:pPr>
        <w:pStyle w:val="Listaconvietas"/>
        <w:keepLines/>
        <w:rPr>
          <w:lang w:val="es-ES"/>
        </w:rPr>
      </w:pPr>
      <w:r w:rsidRPr="009D3AA7">
        <w:rPr>
          <w:lang w:val="es-ES"/>
        </w:rPr>
        <w:t>Proveedores y riesgo</w:t>
      </w:r>
      <w:r w:rsidRPr="009D3AA7">
        <w:rPr>
          <w:lang w:val="es-ES"/>
        </w:rPr>
        <w:br/>
        <w:t xml:space="preserve">Porcentaje de proveedores de TI/Red </w:t>
      </w:r>
      <w:proofErr w:type="spellStart"/>
      <w:r w:rsidRPr="009D3AA7">
        <w:rPr>
          <w:lang w:val="es-ES"/>
        </w:rPr>
        <w:t>Team</w:t>
      </w:r>
      <w:proofErr w:type="spellEnd"/>
      <w:r w:rsidRPr="009D3AA7">
        <w:rPr>
          <w:lang w:val="es-ES"/>
        </w:rPr>
        <w:t xml:space="preserve"> que cumplen los requisitos de experiencia, independencia, aseguramiento y cobertura de riesgos establecidos en el RTS y en las guías TIBER‑EU de contratación.12</w:t>
      </w:r>
      <w:r w:rsidRPr="009D3AA7">
        <w:rPr>
          <w:lang w:val="es-ES"/>
        </w:rPr>
        <w:br/>
        <w:t>Número de riesgos identificados en el análisis de riesgo del TLPT y porcentaje con medidas de mitigación aceptadas antes del inicio del test.62</w:t>
      </w:r>
      <w:r w:rsidRPr="009D3AA7">
        <w:rPr>
          <w:lang w:val="es-ES"/>
        </w:rPr>
        <w:br/>
      </w:r>
      <w:r w:rsidRPr="009D3AA7">
        <w:rPr>
          <w:lang w:val="es-ES"/>
        </w:rPr>
        <w:br/>
      </w:r>
    </w:p>
    <w:p w14:paraId="4A400A73" w14:textId="77777777" w:rsidR="00A915A8" w:rsidRPr="009D3AA7" w:rsidRDefault="00000000">
      <w:pPr>
        <w:pStyle w:val="Listaconvietas"/>
        <w:keepNext/>
        <w:keepLines/>
        <w:rPr>
          <w:lang w:val="es-ES"/>
        </w:rPr>
      </w:pPr>
      <w:r w:rsidRPr="009D3AA7">
        <w:rPr>
          <w:lang w:val="es-ES"/>
        </w:rPr>
        <w:t>Porcentaje de funciones críticas de negocio cubiertas por el TLPT sobre el total de funciones críticas identificadas en el BIA.62</w:t>
      </w:r>
    </w:p>
    <w:p w14:paraId="15DDCB7A" w14:textId="77777777" w:rsidR="00A915A8" w:rsidRPr="009D3AA7" w:rsidRDefault="00000000">
      <w:pPr>
        <w:pStyle w:val="Listaconvietas"/>
        <w:keepLines/>
        <w:rPr>
          <w:lang w:val="es-ES"/>
        </w:rPr>
      </w:pPr>
      <w:r w:rsidRPr="009D3AA7">
        <w:rPr>
          <w:lang w:val="es-ES"/>
        </w:rPr>
        <w:t>Número de servicios críticos soportados por terceros TIC incluidos en el test frente al total de servicios críticos externalizados.26</w:t>
      </w:r>
    </w:p>
    <w:p w14:paraId="78D3B7CC" w14:textId="77777777" w:rsidR="00A915A8" w:rsidRPr="009D3AA7" w:rsidRDefault="00000000">
      <w:pPr>
        <w:pStyle w:val="Listaconvietas"/>
        <w:keepNext/>
        <w:keepLines/>
        <w:rPr>
          <w:lang w:val="es-ES"/>
        </w:rPr>
      </w:pPr>
      <w:r w:rsidRPr="009D3AA7">
        <w:rPr>
          <w:lang w:val="es-ES"/>
        </w:rPr>
        <w:t>Tiempo desde la notificación de obligación de TLPT por la autoridad hasta la designación formal del Control/White Team.12</w:t>
      </w:r>
    </w:p>
    <w:p w14:paraId="6D3EFAF4" w14:textId="77777777" w:rsidR="00A915A8" w:rsidRPr="009D3AA7" w:rsidRDefault="00000000">
      <w:pPr>
        <w:pStyle w:val="Listaconvietas"/>
        <w:keepLines/>
        <w:rPr>
          <w:lang w:val="es-ES"/>
        </w:rPr>
      </w:pPr>
      <w:r w:rsidRPr="009D3AA7">
        <w:rPr>
          <w:lang w:val="es-ES"/>
        </w:rPr>
        <w:t xml:space="preserve">Existencia de política formal de uso de </w:t>
      </w:r>
      <w:proofErr w:type="spellStart"/>
      <w:r w:rsidRPr="009D3AA7">
        <w:rPr>
          <w:lang w:val="es-ES"/>
        </w:rPr>
        <w:t>testers</w:t>
      </w:r>
      <w:proofErr w:type="spellEnd"/>
      <w:r w:rsidRPr="009D3AA7">
        <w:rPr>
          <w:lang w:val="es-ES"/>
        </w:rPr>
        <w:t xml:space="preserve"> internos (cuando se aplique DORA, con los requisitos específicos de política, recursos y mitigación de impacto sobre operaciones).1</w:t>
      </w:r>
    </w:p>
    <w:p w14:paraId="242E476C" w14:textId="77777777" w:rsidR="00A915A8" w:rsidRPr="009D3AA7" w:rsidRDefault="00000000">
      <w:pPr>
        <w:pStyle w:val="Listaconvietas"/>
        <w:keepNext/>
        <w:keepLines/>
        <w:rPr>
          <w:lang w:val="es-ES"/>
        </w:rPr>
      </w:pPr>
      <w:r w:rsidRPr="009D3AA7">
        <w:rPr>
          <w:lang w:val="es-ES"/>
        </w:rPr>
        <w:t xml:space="preserve">Porcentaje de proveedores de TI/Red </w:t>
      </w:r>
      <w:proofErr w:type="spellStart"/>
      <w:r w:rsidRPr="009D3AA7">
        <w:rPr>
          <w:lang w:val="es-ES"/>
        </w:rPr>
        <w:t>Team</w:t>
      </w:r>
      <w:proofErr w:type="spellEnd"/>
      <w:r w:rsidRPr="009D3AA7">
        <w:rPr>
          <w:lang w:val="es-ES"/>
        </w:rPr>
        <w:t xml:space="preserve"> que cumplen los requisitos de experiencia, independencia, aseguramiento y cobertura de riesgos establecidos en el RTS y en las guías TIBER‑EU de contratación.12</w:t>
      </w:r>
    </w:p>
    <w:p w14:paraId="1E76B98D" w14:textId="77777777" w:rsidR="00A915A8" w:rsidRPr="009D3AA7" w:rsidRDefault="00000000">
      <w:pPr>
        <w:pStyle w:val="Listaconvietas"/>
        <w:keepLines/>
        <w:rPr>
          <w:lang w:val="es-ES"/>
        </w:rPr>
      </w:pPr>
      <w:r w:rsidRPr="009D3AA7">
        <w:rPr>
          <w:lang w:val="es-ES"/>
        </w:rPr>
        <w:t>Número de riesgos identificados en el análisis de riesgo del TLPT y porcentaje con medidas de mitigación aceptadas antes del inicio del test.62</w:t>
      </w:r>
    </w:p>
    <w:p w14:paraId="4BB91C5B" w14:textId="77777777" w:rsidR="00A915A8" w:rsidRDefault="00000000">
      <w:pPr>
        <w:pStyle w:val="Ttulo3"/>
      </w:pPr>
      <w:r>
        <w:lastRenderedPageBreak/>
        <w:t xml:space="preserve">2.2 </w:t>
      </w:r>
      <w:proofErr w:type="spellStart"/>
      <w:r>
        <w:t>Fase</w:t>
      </w:r>
      <w:proofErr w:type="spellEnd"/>
      <w:r>
        <w:t xml:space="preserve"> de test (Threat Intelligence + Red Team)</w:t>
      </w:r>
    </w:p>
    <w:p w14:paraId="1781A980" w14:textId="77777777" w:rsidR="00A915A8" w:rsidRPr="009D3AA7" w:rsidRDefault="00000000">
      <w:pPr>
        <w:rPr>
          <w:lang w:val="es-ES"/>
        </w:rPr>
      </w:pPr>
      <w:r w:rsidRPr="009D3AA7">
        <w:rPr>
          <w:lang w:val="es-ES"/>
        </w:rPr>
        <w:t xml:space="preserve">La metodología TLPT exige una fase de inteligencia dirigida (GTL/TTI) seguida de una campaña de Red </w:t>
      </w:r>
      <w:proofErr w:type="spellStart"/>
      <w:r w:rsidRPr="009D3AA7">
        <w:rPr>
          <w:lang w:val="es-ES"/>
        </w:rPr>
        <w:t>Team</w:t>
      </w:r>
      <w:proofErr w:type="spellEnd"/>
      <w:r w:rsidRPr="009D3AA7">
        <w:rPr>
          <w:lang w:val="es-ES"/>
        </w:rPr>
        <w:t xml:space="preserve"> activa de al menos 12 semanas sobre sistemas en producción.</w:t>
      </w:r>
      <w:r>
        <w:footnoteReference w:id="5"/>
      </w:r>
      <w:r>
        <w:footnoteReference w:id="6"/>
      </w:r>
      <w:r>
        <w:footnoteReference w:id="7"/>
      </w:r>
    </w:p>
    <w:p w14:paraId="64505031" w14:textId="77777777" w:rsidR="00A915A8" w:rsidRDefault="00000000">
      <w:r>
        <w:t>Familias de métricas:</w:t>
      </w:r>
    </w:p>
    <w:p w14:paraId="78214695" w14:textId="77777777" w:rsidR="00A915A8" w:rsidRPr="009D3AA7" w:rsidRDefault="00000000">
      <w:pPr>
        <w:pStyle w:val="Listaconvietas"/>
        <w:keepNext/>
        <w:keepLines/>
        <w:rPr>
          <w:lang w:val="es-ES"/>
        </w:rPr>
      </w:pPr>
      <w:r w:rsidRPr="009D3AA7">
        <w:rPr>
          <w:lang w:val="es-ES"/>
        </w:rPr>
        <w:t>Inteligencia y escenarios</w:t>
      </w:r>
      <w:r w:rsidRPr="009D3AA7">
        <w:rPr>
          <w:lang w:val="es-ES"/>
        </w:rPr>
        <w:br/>
        <w:t>Número de escenarios de ataque definidos en el TTI alineados con el panorama de amenazas real del sector financiero español/europeo.62</w:t>
      </w:r>
      <w:r w:rsidRPr="009D3AA7">
        <w:rPr>
          <w:lang w:val="es-ES"/>
        </w:rPr>
        <w:br/>
        <w:t xml:space="preserve">Porcentaje de escenarios TTI finalmente ejercitados por el Red </w:t>
      </w:r>
      <w:proofErr w:type="spellStart"/>
      <w:r w:rsidRPr="009D3AA7">
        <w:rPr>
          <w:lang w:val="es-ES"/>
        </w:rPr>
        <w:t>Team</w:t>
      </w:r>
      <w:proofErr w:type="spellEnd"/>
      <w:r w:rsidRPr="009D3AA7">
        <w:rPr>
          <w:lang w:val="es-ES"/>
        </w:rPr>
        <w:t xml:space="preserve"> en el plan de test.26</w:t>
      </w:r>
      <w:r w:rsidRPr="009D3AA7">
        <w:rPr>
          <w:lang w:val="es-ES"/>
        </w:rPr>
        <w:br/>
      </w:r>
      <w:r w:rsidRPr="009D3AA7">
        <w:rPr>
          <w:lang w:val="es-ES"/>
        </w:rPr>
        <w:br/>
      </w:r>
    </w:p>
    <w:p w14:paraId="2F9DB9B7" w14:textId="77777777" w:rsidR="00A915A8" w:rsidRPr="009D3AA7" w:rsidRDefault="00000000">
      <w:pPr>
        <w:pStyle w:val="Listaconvietas"/>
        <w:keepNext/>
        <w:keepLines/>
        <w:rPr>
          <w:lang w:val="es-ES"/>
        </w:rPr>
      </w:pPr>
      <w:r w:rsidRPr="009D3AA7">
        <w:rPr>
          <w:lang w:val="es-ES"/>
        </w:rPr>
        <w:t xml:space="preserve">Ejecución Red </w:t>
      </w:r>
      <w:proofErr w:type="spellStart"/>
      <w:r w:rsidRPr="009D3AA7">
        <w:rPr>
          <w:lang w:val="es-ES"/>
        </w:rPr>
        <w:t>Team</w:t>
      </w:r>
      <w:proofErr w:type="spellEnd"/>
      <w:r w:rsidRPr="009D3AA7">
        <w:rPr>
          <w:lang w:val="es-ES"/>
        </w:rPr>
        <w:br/>
        <w:t xml:space="preserve">Duración real de la ventana de Red </w:t>
      </w:r>
      <w:proofErr w:type="spellStart"/>
      <w:r w:rsidRPr="009D3AA7">
        <w:rPr>
          <w:lang w:val="es-ES"/>
        </w:rPr>
        <w:t>Team</w:t>
      </w:r>
      <w:proofErr w:type="spellEnd"/>
      <w:r w:rsidRPr="009D3AA7">
        <w:rPr>
          <w:lang w:val="es-ES"/>
        </w:rPr>
        <w:t xml:space="preserve"> activo frente al mínimo regulatorio de 12 semanas.16</w:t>
      </w:r>
      <w:r w:rsidRPr="009D3AA7">
        <w:rPr>
          <w:lang w:val="es-ES"/>
        </w:rPr>
        <w:br/>
        <w:t>Número de “banderas” u objetivos críticos comprometidos (confidencialidad, integridad, disponibilidad, fraude, etc.) frente a los planificados en el alcance.62</w:t>
      </w:r>
      <w:r w:rsidRPr="009D3AA7">
        <w:rPr>
          <w:lang w:val="es-ES"/>
        </w:rPr>
        <w:br/>
        <w:t xml:space="preserve">Número y tipo de ayudas concedidas por el White </w:t>
      </w:r>
      <w:proofErr w:type="spellStart"/>
      <w:r w:rsidRPr="009D3AA7">
        <w:rPr>
          <w:lang w:val="es-ES"/>
        </w:rPr>
        <w:t>Team</w:t>
      </w:r>
      <w:proofErr w:type="spellEnd"/>
      <w:r w:rsidRPr="009D3AA7">
        <w:rPr>
          <w:lang w:val="es-ES"/>
        </w:rPr>
        <w:t xml:space="preserve"> (</w:t>
      </w:r>
      <w:proofErr w:type="spellStart"/>
      <w:r w:rsidRPr="009D3AA7">
        <w:rPr>
          <w:lang w:val="es-ES"/>
        </w:rPr>
        <w:t>bypasses</w:t>
      </w:r>
      <w:proofErr w:type="spellEnd"/>
      <w:r w:rsidRPr="009D3AA7">
        <w:rPr>
          <w:lang w:val="es-ES"/>
        </w:rPr>
        <w:t xml:space="preserve"> de controles, accesos directos) y su impacto en la interpretación de resultados.6</w:t>
      </w:r>
      <w:r w:rsidRPr="009D3AA7">
        <w:rPr>
          <w:lang w:val="es-ES"/>
        </w:rPr>
        <w:br/>
      </w:r>
      <w:r w:rsidRPr="009D3AA7">
        <w:rPr>
          <w:lang w:val="es-ES"/>
        </w:rPr>
        <w:br/>
      </w:r>
    </w:p>
    <w:p w14:paraId="50EA776C" w14:textId="77777777" w:rsidR="00A915A8" w:rsidRPr="009D3AA7" w:rsidRDefault="00000000">
      <w:pPr>
        <w:pStyle w:val="Listaconvietas"/>
        <w:keepLines/>
        <w:rPr>
          <w:lang w:val="es-ES"/>
        </w:rPr>
      </w:pPr>
      <w:r w:rsidRPr="009D3AA7">
        <w:rPr>
          <w:lang w:val="es-ES"/>
        </w:rPr>
        <w:t xml:space="preserve">Detección y respuesta (Blue </w:t>
      </w:r>
      <w:proofErr w:type="spellStart"/>
      <w:r w:rsidRPr="009D3AA7">
        <w:rPr>
          <w:lang w:val="es-ES"/>
        </w:rPr>
        <w:t>Team</w:t>
      </w:r>
      <w:proofErr w:type="spellEnd"/>
      <w:r w:rsidRPr="009D3AA7">
        <w:rPr>
          <w:lang w:val="es-ES"/>
        </w:rPr>
        <w:t xml:space="preserve"> “a ciegas”)</w:t>
      </w:r>
      <w:r w:rsidRPr="009D3AA7">
        <w:rPr>
          <w:lang w:val="es-ES"/>
        </w:rPr>
        <w:br/>
        <w:t>Tiempo de detección del primer indicador de compromiso (MTTD TLPT) desde el inicio de actividades hostiles realistas por parte del Red Team.26</w:t>
      </w:r>
      <w:r w:rsidRPr="009D3AA7">
        <w:rPr>
          <w:lang w:val="es-ES"/>
        </w:rPr>
        <w:br/>
        <w:t>Tiempo de contención (MTTC) y de recuperación (MTTR) de los sistemas o funciones afectados durante el ejercicio.6</w:t>
      </w:r>
      <w:r w:rsidRPr="009D3AA7">
        <w:rPr>
          <w:lang w:val="es-ES"/>
        </w:rPr>
        <w:br/>
        <w:t xml:space="preserve">Porcentaje de actividades del Red </w:t>
      </w:r>
      <w:proofErr w:type="spellStart"/>
      <w:r w:rsidRPr="009D3AA7">
        <w:rPr>
          <w:lang w:val="es-ES"/>
        </w:rPr>
        <w:t>Team</w:t>
      </w:r>
      <w:proofErr w:type="spellEnd"/>
      <w:r w:rsidRPr="009D3AA7">
        <w:rPr>
          <w:lang w:val="es-ES"/>
        </w:rPr>
        <w:t xml:space="preserve"> detectadas por los mecanismos de monitorización y el personal de operaciones (cobertura de detección).6</w:t>
      </w:r>
      <w:r w:rsidRPr="009D3AA7">
        <w:rPr>
          <w:lang w:val="es-ES"/>
        </w:rPr>
        <w:br/>
      </w:r>
      <w:r w:rsidRPr="009D3AA7">
        <w:rPr>
          <w:lang w:val="es-ES"/>
        </w:rPr>
        <w:br/>
      </w:r>
    </w:p>
    <w:p w14:paraId="4DF4512F" w14:textId="77777777" w:rsidR="00A915A8" w:rsidRPr="009D3AA7" w:rsidRDefault="00000000">
      <w:pPr>
        <w:pStyle w:val="Listaconvietas"/>
        <w:keepNext/>
        <w:keepLines/>
        <w:rPr>
          <w:lang w:val="es-ES"/>
        </w:rPr>
      </w:pPr>
      <w:r w:rsidRPr="009D3AA7">
        <w:rPr>
          <w:lang w:val="es-ES"/>
        </w:rPr>
        <w:t>Número de escenarios de ataque definidos en el TTI alineados con el panorama de amenazas real del sector financiero español/europeo.62</w:t>
      </w:r>
    </w:p>
    <w:p w14:paraId="30DB67F2" w14:textId="77777777" w:rsidR="00A915A8" w:rsidRPr="009D3AA7" w:rsidRDefault="00000000">
      <w:pPr>
        <w:pStyle w:val="Listaconvietas"/>
        <w:keepLines/>
        <w:rPr>
          <w:lang w:val="es-ES"/>
        </w:rPr>
      </w:pPr>
      <w:r w:rsidRPr="009D3AA7">
        <w:rPr>
          <w:lang w:val="es-ES"/>
        </w:rPr>
        <w:t xml:space="preserve">Porcentaje de escenarios TTI finalmente ejercitados por el Red </w:t>
      </w:r>
      <w:proofErr w:type="spellStart"/>
      <w:r w:rsidRPr="009D3AA7">
        <w:rPr>
          <w:lang w:val="es-ES"/>
        </w:rPr>
        <w:t>Team</w:t>
      </w:r>
      <w:proofErr w:type="spellEnd"/>
      <w:r w:rsidRPr="009D3AA7">
        <w:rPr>
          <w:lang w:val="es-ES"/>
        </w:rPr>
        <w:t xml:space="preserve"> en el plan de test.26</w:t>
      </w:r>
    </w:p>
    <w:p w14:paraId="6C2F69A8" w14:textId="77777777" w:rsidR="00A915A8" w:rsidRPr="009D3AA7" w:rsidRDefault="00000000">
      <w:pPr>
        <w:pStyle w:val="Listaconvietas"/>
        <w:keepNext/>
        <w:keepLines/>
        <w:rPr>
          <w:lang w:val="es-ES"/>
        </w:rPr>
      </w:pPr>
      <w:r w:rsidRPr="009D3AA7">
        <w:rPr>
          <w:lang w:val="es-ES"/>
        </w:rPr>
        <w:t xml:space="preserve">Duración real de la ventana de Red </w:t>
      </w:r>
      <w:proofErr w:type="spellStart"/>
      <w:r w:rsidRPr="009D3AA7">
        <w:rPr>
          <w:lang w:val="es-ES"/>
        </w:rPr>
        <w:t>Team</w:t>
      </w:r>
      <w:proofErr w:type="spellEnd"/>
      <w:r w:rsidRPr="009D3AA7">
        <w:rPr>
          <w:lang w:val="es-ES"/>
        </w:rPr>
        <w:t xml:space="preserve"> activo frente al mínimo regulatorio de 12 semanas.16</w:t>
      </w:r>
    </w:p>
    <w:p w14:paraId="71F53B74" w14:textId="77777777" w:rsidR="00A915A8" w:rsidRPr="009D3AA7" w:rsidRDefault="00000000">
      <w:pPr>
        <w:pStyle w:val="Listaconvietas"/>
        <w:keepNext/>
        <w:keepLines/>
        <w:rPr>
          <w:lang w:val="es-ES"/>
        </w:rPr>
      </w:pPr>
      <w:r w:rsidRPr="009D3AA7">
        <w:rPr>
          <w:lang w:val="es-ES"/>
        </w:rPr>
        <w:t>Número de “banderas” u objetivos críticos comprometidos (confidencialidad, integridad, disponibilidad, fraude, etc.) frente a los planificados en el alcance.62</w:t>
      </w:r>
    </w:p>
    <w:p w14:paraId="67F6C0DB" w14:textId="77777777" w:rsidR="00A915A8" w:rsidRPr="009D3AA7" w:rsidRDefault="00000000">
      <w:pPr>
        <w:pStyle w:val="Listaconvietas"/>
        <w:keepLines/>
        <w:rPr>
          <w:lang w:val="es-ES"/>
        </w:rPr>
      </w:pPr>
      <w:r w:rsidRPr="009D3AA7">
        <w:rPr>
          <w:lang w:val="es-ES"/>
        </w:rPr>
        <w:t xml:space="preserve">Número y tipo de ayudas concedidas por el White </w:t>
      </w:r>
      <w:proofErr w:type="spellStart"/>
      <w:r w:rsidRPr="009D3AA7">
        <w:rPr>
          <w:lang w:val="es-ES"/>
        </w:rPr>
        <w:t>Team</w:t>
      </w:r>
      <w:proofErr w:type="spellEnd"/>
      <w:r w:rsidRPr="009D3AA7">
        <w:rPr>
          <w:lang w:val="es-ES"/>
        </w:rPr>
        <w:t xml:space="preserve"> (</w:t>
      </w:r>
      <w:proofErr w:type="spellStart"/>
      <w:r w:rsidRPr="009D3AA7">
        <w:rPr>
          <w:lang w:val="es-ES"/>
        </w:rPr>
        <w:t>bypasses</w:t>
      </w:r>
      <w:proofErr w:type="spellEnd"/>
      <w:r w:rsidRPr="009D3AA7">
        <w:rPr>
          <w:lang w:val="es-ES"/>
        </w:rPr>
        <w:t xml:space="preserve"> de controles, accesos directos) y su impacto en la interpretación de resultados.6</w:t>
      </w:r>
    </w:p>
    <w:p w14:paraId="00518B2C" w14:textId="77777777" w:rsidR="00A915A8" w:rsidRPr="009D3AA7" w:rsidRDefault="00000000">
      <w:pPr>
        <w:pStyle w:val="Listaconvietas"/>
        <w:keepNext/>
        <w:keepLines/>
        <w:rPr>
          <w:lang w:val="es-ES"/>
        </w:rPr>
      </w:pPr>
      <w:r w:rsidRPr="009D3AA7">
        <w:rPr>
          <w:lang w:val="es-ES"/>
        </w:rPr>
        <w:lastRenderedPageBreak/>
        <w:t>Tiempo de detección del primer indicador de compromiso (MTTD TLPT) desde el inicio de actividades hostiles realistas por parte del Red Team.26</w:t>
      </w:r>
    </w:p>
    <w:p w14:paraId="5354C2E4" w14:textId="77777777" w:rsidR="00A915A8" w:rsidRPr="009D3AA7" w:rsidRDefault="00000000">
      <w:pPr>
        <w:pStyle w:val="Listaconvietas"/>
        <w:keepNext/>
        <w:keepLines/>
        <w:rPr>
          <w:lang w:val="es-ES"/>
        </w:rPr>
      </w:pPr>
      <w:r w:rsidRPr="009D3AA7">
        <w:rPr>
          <w:lang w:val="es-ES"/>
        </w:rPr>
        <w:t>Tiempo de contención (MTTC) y de recuperación (MTTR) de los sistemas o funciones afectados durante el ejercicio.6</w:t>
      </w:r>
    </w:p>
    <w:p w14:paraId="75C58F99" w14:textId="77777777" w:rsidR="00A915A8" w:rsidRPr="009D3AA7" w:rsidRDefault="00000000">
      <w:pPr>
        <w:pStyle w:val="Listaconvietas"/>
        <w:keepLines/>
        <w:rPr>
          <w:lang w:val="es-ES"/>
        </w:rPr>
      </w:pPr>
      <w:r w:rsidRPr="009D3AA7">
        <w:rPr>
          <w:lang w:val="es-ES"/>
        </w:rPr>
        <w:t xml:space="preserve">Porcentaje de actividades del Red </w:t>
      </w:r>
      <w:proofErr w:type="spellStart"/>
      <w:r w:rsidRPr="009D3AA7">
        <w:rPr>
          <w:lang w:val="es-ES"/>
        </w:rPr>
        <w:t>Team</w:t>
      </w:r>
      <w:proofErr w:type="spellEnd"/>
      <w:r w:rsidRPr="009D3AA7">
        <w:rPr>
          <w:lang w:val="es-ES"/>
        </w:rPr>
        <w:t xml:space="preserve"> detectadas por los mecanismos de monitorización y el personal de operaciones (cobertura de detección).6</w:t>
      </w:r>
    </w:p>
    <w:p w14:paraId="3722E8F4" w14:textId="77777777" w:rsidR="00A915A8" w:rsidRPr="009D3AA7" w:rsidRDefault="00000000">
      <w:pPr>
        <w:pStyle w:val="Ttulo3"/>
        <w:rPr>
          <w:lang w:val="es-ES"/>
        </w:rPr>
      </w:pPr>
      <w:r w:rsidRPr="009D3AA7">
        <w:rPr>
          <w:lang w:val="es-ES"/>
        </w:rPr>
        <w:t xml:space="preserve">2.3 Fase de cierre, </w:t>
      </w:r>
      <w:proofErr w:type="spellStart"/>
      <w:r w:rsidRPr="009D3AA7">
        <w:rPr>
          <w:lang w:val="es-ES"/>
        </w:rPr>
        <w:t>purple</w:t>
      </w:r>
      <w:proofErr w:type="spellEnd"/>
      <w:r w:rsidRPr="009D3AA7">
        <w:rPr>
          <w:lang w:val="es-ES"/>
        </w:rPr>
        <w:t xml:space="preserve"> </w:t>
      </w:r>
      <w:proofErr w:type="spellStart"/>
      <w:r w:rsidRPr="009D3AA7">
        <w:rPr>
          <w:lang w:val="es-ES"/>
        </w:rPr>
        <w:t>teaming</w:t>
      </w:r>
      <w:proofErr w:type="spellEnd"/>
      <w:r w:rsidRPr="009D3AA7">
        <w:rPr>
          <w:lang w:val="es-ES"/>
        </w:rPr>
        <w:t xml:space="preserve"> y remediación</w:t>
      </w:r>
    </w:p>
    <w:p w14:paraId="514FA298" w14:textId="77777777" w:rsidR="00A915A8" w:rsidRPr="009D3AA7" w:rsidRDefault="00000000">
      <w:pPr>
        <w:rPr>
          <w:lang w:val="es-ES"/>
        </w:rPr>
      </w:pPr>
      <w:r w:rsidRPr="009D3AA7">
        <w:rPr>
          <w:lang w:val="es-ES"/>
        </w:rPr>
        <w:t xml:space="preserve">Los RTS hacen obligatoria la fase de </w:t>
      </w:r>
      <w:proofErr w:type="spellStart"/>
      <w:r w:rsidRPr="009D3AA7">
        <w:rPr>
          <w:lang w:val="es-ES"/>
        </w:rPr>
        <w:t>purple</w:t>
      </w:r>
      <w:proofErr w:type="spellEnd"/>
      <w:r w:rsidRPr="009D3AA7">
        <w:rPr>
          <w:lang w:val="es-ES"/>
        </w:rPr>
        <w:t xml:space="preserve"> </w:t>
      </w:r>
      <w:proofErr w:type="spellStart"/>
      <w:r w:rsidRPr="009D3AA7">
        <w:rPr>
          <w:lang w:val="es-ES"/>
        </w:rPr>
        <w:t>teaming</w:t>
      </w:r>
      <w:proofErr w:type="spellEnd"/>
      <w:r w:rsidRPr="009D3AA7">
        <w:rPr>
          <w:lang w:val="es-ES"/>
        </w:rPr>
        <w:t xml:space="preserve"> y replay en el cierre; TIBER‑ES ya contemplaba informes detallados de Red </w:t>
      </w:r>
      <w:proofErr w:type="spellStart"/>
      <w:r w:rsidRPr="009D3AA7">
        <w:rPr>
          <w:lang w:val="es-ES"/>
        </w:rPr>
        <w:t>Team</w:t>
      </w:r>
      <w:proofErr w:type="spellEnd"/>
      <w:r w:rsidRPr="009D3AA7">
        <w:rPr>
          <w:lang w:val="es-ES"/>
        </w:rPr>
        <w:t xml:space="preserve"> y Blue </w:t>
      </w:r>
      <w:proofErr w:type="spellStart"/>
      <w:r w:rsidRPr="009D3AA7">
        <w:rPr>
          <w:lang w:val="es-ES"/>
        </w:rPr>
        <w:t>Team</w:t>
      </w:r>
      <w:proofErr w:type="spellEnd"/>
      <w:r w:rsidRPr="009D3AA7">
        <w:rPr>
          <w:lang w:val="es-ES"/>
        </w:rPr>
        <w:t>, informe resumen y plan de acción.</w:t>
      </w:r>
      <w:r>
        <w:footnoteReference w:id="8"/>
      </w:r>
      <w:r>
        <w:footnoteReference w:id="9"/>
      </w:r>
      <w:r>
        <w:footnoteReference w:id="10"/>
      </w:r>
    </w:p>
    <w:p w14:paraId="771D85C5" w14:textId="77777777" w:rsidR="00A915A8" w:rsidRDefault="00000000">
      <w:r>
        <w:t>Familias de métricas:</w:t>
      </w:r>
    </w:p>
    <w:p w14:paraId="42A1CDA1" w14:textId="77777777" w:rsidR="00A915A8" w:rsidRPr="009D3AA7" w:rsidRDefault="00000000">
      <w:pPr>
        <w:pStyle w:val="Listaconvietas"/>
        <w:keepNext/>
        <w:keepLines/>
        <w:rPr>
          <w:lang w:val="es-ES"/>
        </w:rPr>
      </w:pPr>
      <w:r w:rsidRPr="009D3AA7">
        <w:rPr>
          <w:lang w:val="es-ES"/>
        </w:rPr>
        <w:t>Calidad de informes</w:t>
      </w:r>
      <w:r w:rsidRPr="009D3AA7">
        <w:rPr>
          <w:lang w:val="es-ES"/>
        </w:rPr>
        <w:br/>
        <w:t xml:space="preserve">Plazo de entrega del Red </w:t>
      </w:r>
      <w:proofErr w:type="spellStart"/>
      <w:r w:rsidRPr="009D3AA7">
        <w:rPr>
          <w:lang w:val="es-ES"/>
        </w:rPr>
        <w:t>Team</w:t>
      </w:r>
      <w:proofErr w:type="spellEnd"/>
      <w:r w:rsidRPr="009D3AA7">
        <w:rPr>
          <w:lang w:val="es-ES"/>
        </w:rPr>
        <w:t xml:space="preserve"> Test </w:t>
      </w:r>
      <w:proofErr w:type="spellStart"/>
      <w:r w:rsidRPr="009D3AA7">
        <w:rPr>
          <w:lang w:val="es-ES"/>
        </w:rPr>
        <w:t>Report</w:t>
      </w:r>
      <w:proofErr w:type="spellEnd"/>
      <w:r w:rsidRPr="009D3AA7">
        <w:rPr>
          <w:lang w:val="es-ES"/>
        </w:rPr>
        <w:t xml:space="preserve"> y del Blue </w:t>
      </w:r>
      <w:proofErr w:type="spellStart"/>
      <w:r w:rsidRPr="009D3AA7">
        <w:rPr>
          <w:lang w:val="es-ES"/>
        </w:rPr>
        <w:t>Team</w:t>
      </w:r>
      <w:proofErr w:type="spellEnd"/>
      <w:r w:rsidRPr="009D3AA7">
        <w:rPr>
          <w:lang w:val="es-ES"/>
        </w:rPr>
        <w:t xml:space="preserve"> Test </w:t>
      </w:r>
      <w:proofErr w:type="spellStart"/>
      <w:r w:rsidRPr="009D3AA7">
        <w:rPr>
          <w:lang w:val="es-ES"/>
        </w:rPr>
        <w:t>Report</w:t>
      </w:r>
      <w:proofErr w:type="spellEnd"/>
      <w:r w:rsidRPr="009D3AA7">
        <w:rPr>
          <w:lang w:val="es-ES"/>
        </w:rPr>
        <w:t xml:space="preserve"> frente a los plazos de referencia del RTS (se ampliaron tras la consulta pública por preocupación de la industria).12</w:t>
      </w:r>
      <w:r w:rsidRPr="009D3AA7">
        <w:rPr>
          <w:lang w:val="es-ES"/>
        </w:rPr>
        <w:br/>
        <w:t xml:space="preserve">Grado de detalle técnico y de negocio en el Test </w:t>
      </w:r>
      <w:proofErr w:type="spellStart"/>
      <w:r w:rsidRPr="009D3AA7">
        <w:rPr>
          <w:lang w:val="es-ES"/>
        </w:rPr>
        <w:t>Summary</w:t>
      </w:r>
      <w:proofErr w:type="spellEnd"/>
      <w:r w:rsidRPr="009D3AA7">
        <w:rPr>
          <w:lang w:val="es-ES"/>
        </w:rPr>
        <w:t xml:space="preserve"> </w:t>
      </w:r>
      <w:proofErr w:type="spellStart"/>
      <w:r w:rsidRPr="009D3AA7">
        <w:rPr>
          <w:lang w:val="es-ES"/>
        </w:rPr>
        <w:t>Report</w:t>
      </w:r>
      <w:proofErr w:type="spellEnd"/>
      <w:r w:rsidRPr="009D3AA7">
        <w:rPr>
          <w:lang w:val="es-ES"/>
        </w:rPr>
        <w:t>, medido por cobertura de todas las funciones críticas, TTP utilizadas y mapeo a controles.21</w:t>
      </w:r>
      <w:r w:rsidRPr="009D3AA7">
        <w:rPr>
          <w:lang w:val="es-ES"/>
        </w:rPr>
        <w:br/>
      </w:r>
      <w:r w:rsidRPr="009D3AA7">
        <w:rPr>
          <w:lang w:val="es-ES"/>
        </w:rPr>
        <w:br/>
      </w:r>
    </w:p>
    <w:p w14:paraId="545A6517" w14:textId="77777777" w:rsidR="00A915A8" w:rsidRPr="009D3AA7" w:rsidRDefault="00000000">
      <w:pPr>
        <w:pStyle w:val="Listaconvietas"/>
        <w:keepNext/>
        <w:keepLines/>
        <w:rPr>
          <w:lang w:val="es-ES"/>
        </w:rPr>
      </w:pPr>
      <w:r w:rsidRPr="009D3AA7">
        <w:rPr>
          <w:lang w:val="es-ES"/>
        </w:rPr>
        <w:t>Plan de remediación</w:t>
      </w:r>
      <w:r w:rsidRPr="009D3AA7">
        <w:rPr>
          <w:lang w:val="es-ES"/>
        </w:rPr>
        <w:br/>
        <w:t>Número total de hallazgos categorizados por criticidad (muy alto, alto, medio, bajo) y tipo (técnico, proceso, humano, tercero).12</w:t>
      </w:r>
      <w:r w:rsidRPr="009D3AA7">
        <w:rPr>
          <w:lang w:val="es-ES"/>
        </w:rPr>
        <w:br/>
        <w:t>Porcentaje de vulnerabilidades críticas y altas con plan de remediación aprobado en un máximo de 8 semanas tras el cierre (plazo de referencia indicado en prácticas DORA/TLPT).21</w:t>
      </w:r>
      <w:r w:rsidRPr="009D3AA7">
        <w:rPr>
          <w:lang w:val="es-ES"/>
        </w:rPr>
        <w:br/>
        <w:t>Porcentaje de acciones de remediación ejecutadas dentro del plazo comprometido, y número de hallazgos reabiertos en re‑test posterior.6</w:t>
      </w:r>
      <w:r w:rsidRPr="009D3AA7">
        <w:rPr>
          <w:lang w:val="es-ES"/>
        </w:rPr>
        <w:br/>
      </w:r>
      <w:r w:rsidRPr="009D3AA7">
        <w:rPr>
          <w:lang w:val="es-ES"/>
        </w:rPr>
        <w:br/>
      </w:r>
    </w:p>
    <w:p w14:paraId="2AE507C3" w14:textId="77777777" w:rsidR="00A915A8" w:rsidRPr="009D3AA7" w:rsidRDefault="00000000">
      <w:pPr>
        <w:pStyle w:val="Listaconvietas"/>
        <w:keepLines/>
        <w:rPr>
          <w:lang w:val="es-ES"/>
        </w:rPr>
      </w:pPr>
      <w:r w:rsidRPr="009D3AA7">
        <w:rPr>
          <w:lang w:val="es-ES"/>
        </w:rPr>
        <w:t>Cooperación supervisora</w:t>
      </w:r>
      <w:r w:rsidRPr="009D3AA7">
        <w:rPr>
          <w:lang w:val="es-ES"/>
        </w:rPr>
        <w:br/>
        <w:t>Tiempo desde la entrega del plan de remediación a la recepción de la “</w:t>
      </w:r>
      <w:proofErr w:type="spellStart"/>
      <w:r w:rsidRPr="009D3AA7">
        <w:rPr>
          <w:lang w:val="es-ES"/>
        </w:rPr>
        <w:t>attestation</w:t>
      </w:r>
      <w:proofErr w:type="spellEnd"/>
      <w:r w:rsidRPr="009D3AA7">
        <w:rPr>
          <w:lang w:val="es-ES"/>
        </w:rPr>
        <w:t>” por parte de la autoridad TLPT, que certifica que el ejercicio se ha ejecutado conforme al RTS y que identifica funciones en alcance.1</w:t>
      </w:r>
      <w:r w:rsidRPr="009D3AA7">
        <w:rPr>
          <w:lang w:val="es-ES"/>
        </w:rPr>
        <w:br/>
      </w:r>
      <w:r w:rsidRPr="009D3AA7">
        <w:rPr>
          <w:lang w:val="es-ES"/>
        </w:rPr>
        <w:br/>
      </w:r>
    </w:p>
    <w:p w14:paraId="2F67869A" w14:textId="77777777" w:rsidR="00A915A8" w:rsidRPr="009D3AA7" w:rsidRDefault="00000000">
      <w:pPr>
        <w:pStyle w:val="Listaconvietas"/>
        <w:keepNext/>
        <w:keepLines/>
        <w:rPr>
          <w:lang w:val="es-ES"/>
        </w:rPr>
      </w:pPr>
      <w:r w:rsidRPr="009D3AA7">
        <w:rPr>
          <w:lang w:val="es-ES"/>
        </w:rPr>
        <w:lastRenderedPageBreak/>
        <w:t xml:space="preserve">Plazo de entrega del Red </w:t>
      </w:r>
      <w:proofErr w:type="spellStart"/>
      <w:r w:rsidRPr="009D3AA7">
        <w:rPr>
          <w:lang w:val="es-ES"/>
        </w:rPr>
        <w:t>Team</w:t>
      </w:r>
      <w:proofErr w:type="spellEnd"/>
      <w:r w:rsidRPr="009D3AA7">
        <w:rPr>
          <w:lang w:val="es-ES"/>
        </w:rPr>
        <w:t xml:space="preserve"> Test </w:t>
      </w:r>
      <w:proofErr w:type="spellStart"/>
      <w:r w:rsidRPr="009D3AA7">
        <w:rPr>
          <w:lang w:val="es-ES"/>
        </w:rPr>
        <w:t>Report</w:t>
      </w:r>
      <w:proofErr w:type="spellEnd"/>
      <w:r w:rsidRPr="009D3AA7">
        <w:rPr>
          <w:lang w:val="es-ES"/>
        </w:rPr>
        <w:t xml:space="preserve"> y del Blue </w:t>
      </w:r>
      <w:proofErr w:type="spellStart"/>
      <w:r w:rsidRPr="009D3AA7">
        <w:rPr>
          <w:lang w:val="es-ES"/>
        </w:rPr>
        <w:t>Team</w:t>
      </w:r>
      <w:proofErr w:type="spellEnd"/>
      <w:r w:rsidRPr="009D3AA7">
        <w:rPr>
          <w:lang w:val="es-ES"/>
        </w:rPr>
        <w:t xml:space="preserve"> Test </w:t>
      </w:r>
      <w:proofErr w:type="spellStart"/>
      <w:r w:rsidRPr="009D3AA7">
        <w:rPr>
          <w:lang w:val="es-ES"/>
        </w:rPr>
        <w:t>Report</w:t>
      </w:r>
      <w:proofErr w:type="spellEnd"/>
      <w:r w:rsidRPr="009D3AA7">
        <w:rPr>
          <w:lang w:val="es-ES"/>
        </w:rPr>
        <w:t xml:space="preserve"> frente a los plazos de referencia del RTS (se ampliaron tras la consulta pública por preocupación de la industria).12</w:t>
      </w:r>
    </w:p>
    <w:p w14:paraId="31A395B7" w14:textId="77777777" w:rsidR="00A915A8" w:rsidRPr="009D3AA7" w:rsidRDefault="00000000">
      <w:pPr>
        <w:pStyle w:val="Listaconvietas"/>
        <w:keepLines/>
        <w:rPr>
          <w:lang w:val="es-ES"/>
        </w:rPr>
      </w:pPr>
      <w:r w:rsidRPr="009D3AA7">
        <w:rPr>
          <w:lang w:val="es-ES"/>
        </w:rPr>
        <w:t xml:space="preserve">Grado de detalle técnico y de negocio en el Test </w:t>
      </w:r>
      <w:proofErr w:type="spellStart"/>
      <w:r w:rsidRPr="009D3AA7">
        <w:rPr>
          <w:lang w:val="es-ES"/>
        </w:rPr>
        <w:t>Summary</w:t>
      </w:r>
      <w:proofErr w:type="spellEnd"/>
      <w:r w:rsidRPr="009D3AA7">
        <w:rPr>
          <w:lang w:val="es-ES"/>
        </w:rPr>
        <w:t xml:space="preserve"> </w:t>
      </w:r>
      <w:proofErr w:type="spellStart"/>
      <w:r w:rsidRPr="009D3AA7">
        <w:rPr>
          <w:lang w:val="es-ES"/>
        </w:rPr>
        <w:t>Report</w:t>
      </w:r>
      <w:proofErr w:type="spellEnd"/>
      <w:r w:rsidRPr="009D3AA7">
        <w:rPr>
          <w:lang w:val="es-ES"/>
        </w:rPr>
        <w:t>, medido por cobertura de todas las funciones críticas, TTP utilizadas y mapeo a controles.21</w:t>
      </w:r>
    </w:p>
    <w:p w14:paraId="6BB36A2A" w14:textId="77777777" w:rsidR="00A915A8" w:rsidRPr="009D3AA7" w:rsidRDefault="00000000">
      <w:pPr>
        <w:pStyle w:val="Listaconvietas"/>
        <w:keepNext/>
        <w:keepLines/>
        <w:rPr>
          <w:lang w:val="es-ES"/>
        </w:rPr>
      </w:pPr>
      <w:r w:rsidRPr="009D3AA7">
        <w:rPr>
          <w:lang w:val="es-ES"/>
        </w:rPr>
        <w:t>Número total de hallazgos categorizados por criticidad (muy alto, alto, medio, bajo) y tipo (técnico, proceso, humano, tercero).12</w:t>
      </w:r>
    </w:p>
    <w:p w14:paraId="5CFCC18C" w14:textId="77777777" w:rsidR="00A915A8" w:rsidRPr="009D3AA7" w:rsidRDefault="00000000">
      <w:pPr>
        <w:pStyle w:val="Listaconvietas"/>
        <w:keepNext/>
        <w:keepLines/>
        <w:rPr>
          <w:lang w:val="es-ES"/>
        </w:rPr>
      </w:pPr>
      <w:r w:rsidRPr="009D3AA7">
        <w:rPr>
          <w:lang w:val="es-ES"/>
        </w:rPr>
        <w:t>Porcentaje de vulnerabilidades críticas y altas con plan de remediación aprobado en un máximo de 8 semanas tras el cierre (plazo de referencia indicado en prácticas DORA/TLPT).21</w:t>
      </w:r>
    </w:p>
    <w:p w14:paraId="6799EE1A" w14:textId="77777777" w:rsidR="00A915A8" w:rsidRPr="009D3AA7" w:rsidRDefault="00000000">
      <w:pPr>
        <w:pStyle w:val="Listaconvietas"/>
        <w:keepLines/>
        <w:rPr>
          <w:lang w:val="es-ES"/>
        </w:rPr>
      </w:pPr>
      <w:r w:rsidRPr="009D3AA7">
        <w:rPr>
          <w:lang w:val="es-ES"/>
        </w:rPr>
        <w:t>Porcentaje de acciones de remediación ejecutadas dentro del plazo comprometido, y número de hallazgos reabiertos en re‑test posterior.6</w:t>
      </w:r>
    </w:p>
    <w:p w14:paraId="175037E9" w14:textId="77777777" w:rsidR="00A915A8" w:rsidRPr="009D3AA7" w:rsidRDefault="00000000">
      <w:pPr>
        <w:pStyle w:val="Listaconvietas"/>
        <w:keepLines/>
        <w:rPr>
          <w:lang w:val="es-ES"/>
        </w:rPr>
      </w:pPr>
      <w:r w:rsidRPr="009D3AA7">
        <w:rPr>
          <w:lang w:val="es-ES"/>
        </w:rPr>
        <w:t>Tiempo desde la entrega del plan de remediación a la recepción de la “</w:t>
      </w:r>
      <w:proofErr w:type="spellStart"/>
      <w:r w:rsidRPr="009D3AA7">
        <w:rPr>
          <w:lang w:val="es-ES"/>
        </w:rPr>
        <w:t>attestation</w:t>
      </w:r>
      <w:proofErr w:type="spellEnd"/>
      <w:r w:rsidRPr="009D3AA7">
        <w:rPr>
          <w:lang w:val="es-ES"/>
        </w:rPr>
        <w:t>” por parte de la autoridad TLPT, que certifica que el ejercicio se ha ejecutado conforme al RTS y que identifica funciones en alcance.1</w:t>
      </w:r>
    </w:p>
    <w:p w14:paraId="7B7D9EA9" w14:textId="77777777" w:rsidR="00A915A8" w:rsidRPr="009D3AA7" w:rsidRDefault="00000000">
      <w:pPr>
        <w:rPr>
          <w:lang w:val="es-ES"/>
        </w:rPr>
      </w:pPr>
      <w:r w:rsidRPr="009D3AA7">
        <w:rPr>
          <w:b/>
          <w:lang w:val="es-ES"/>
        </w:rPr>
        <w:t>Ejemplo de pregunta de encuesta (ad hoc, con un punto de mala leche):</w:t>
      </w:r>
    </w:p>
    <w:p w14:paraId="1D3CC25E" w14:textId="77777777" w:rsidR="00A915A8" w:rsidRPr="009D3AA7" w:rsidRDefault="00000000">
      <w:pPr>
        <w:pStyle w:val="Listaconvietas"/>
        <w:keepLines/>
        <w:rPr>
          <w:lang w:val="es-ES"/>
        </w:rPr>
      </w:pPr>
      <w:r w:rsidRPr="009D3AA7">
        <w:rPr>
          <w:lang w:val="es-ES"/>
        </w:rPr>
        <w:t xml:space="preserve">“Cuando le dijeron a su Blue </w:t>
      </w:r>
      <w:proofErr w:type="spellStart"/>
      <w:r w:rsidRPr="009D3AA7">
        <w:rPr>
          <w:lang w:val="es-ES"/>
        </w:rPr>
        <w:t>Team</w:t>
      </w:r>
      <w:proofErr w:type="spellEnd"/>
      <w:r w:rsidRPr="009D3AA7">
        <w:rPr>
          <w:lang w:val="es-ES"/>
        </w:rPr>
        <w:t xml:space="preserve"> que el ‘incidente’ había sido un TLPT, ¿la reacción mayoritaria fue: </w:t>
      </w:r>
      <w:proofErr w:type="gramStart"/>
      <w:r w:rsidRPr="009D3AA7">
        <w:rPr>
          <w:lang w:val="es-ES"/>
        </w:rPr>
        <w:t>a) alivio, b) vergüenza profesional, c) petición de más presupuesto, d) todo lo anterior?</w:t>
      </w:r>
      <w:proofErr w:type="gramEnd"/>
      <w:r w:rsidRPr="009D3AA7">
        <w:rPr>
          <w:lang w:val="es-ES"/>
        </w:rPr>
        <w:t>”</w:t>
      </w:r>
    </w:p>
    <w:p w14:paraId="3EF94520" w14:textId="77777777" w:rsidR="00A915A8" w:rsidRPr="009D3AA7" w:rsidRDefault="00000000">
      <w:pPr>
        <w:pStyle w:val="Ttulo2"/>
        <w:rPr>
          <w:lang w:val="es-ES"/>
        </w:rPr>
      </w:pPr>
      <w:r w:rsidRPr="009D3AA7">
        <w:rPr>
          <w:color w:val="0066CC"/>
          <w:lang w:val="es-ES"/>
        </w:rPr>
        <w:t>3. Indicadores TLPT para uso nacional (España)</w:t>
      </w:r>
    </w:p>
    <w:p w14:paraId="7BDDA035" w14:textId="77777777" w:rsidR="00A915A8" w:rsidRPr="009D3AA7" w:rsidRDefault="00000000">
      <w:pPr>
        <w:pStyle w:val="Ttulo3"/>
        <w:rPr>
          <w:lang w:val="es-ES"/>
        </w:rPr>
      </w:pPr>
      <w:r w:rsidRPr="009D3AA7">
        <w:rPr>
          <w:lang w:val="es-ES"/>
        </w:rPr>
        <w:t>3.1 Indicadores a nivel de entidad</w:t>
      </w:r>
    </w:p>
    <w:p w14:paraId="00580B51" w14:textId="77777777" w:rsidR="00A915A8" w:rsidRPr="009D3AA7" w:rsidRDefault="00000000">
      <w:pPr>
        <w:rPr>
          <w:lang w:val="es-ES"/>
        </w:rPr>
      </w:pPr>
      <w:r w:rsidRPr="009D3AA7">
        <w:rPr>
          <w:lang w:val="es-ES"/>
        </w:rPr>
        <w:t>Pensados para ser agregables por supervisores (Banco de España, CNMV, DGSFP) bajo DORA y TIBER‑ES.</w:t>
      </w:r>
      <w:r>
        <w:footnoteReference w:id="11"/>
      </w:r>
      <w:r>
        <w:footnoteReference w:id="12"/>
      </w:r>
      <w:r>
        <w:footnoteReference w:id="13"/>
      </w:r>
    </w:p>
    <w:p w14:paraId="4CB6D1DB" w14:textId="77777777" w:rsidR="00A915A8" w:rsidRPr="009D3AA7" w:rsidRDefault="00000000">
      <w:pPr>
        <w:pStyle w:val="Listaconvietas"/>
        <w:keepNext/>
        <w:keepLines/>
        <w:rPr>
          <w:lang w:val="es-ES"/>
        </w:rPr>
      </w:pPr>
      <w:r w:rsidRPr="009D3AA7">
        <w:rPr>
          <w:lang w:val="es-ES"/>
        </w:rPr>
        <w:lastRenderedPageBreak/>
        <w:t>Cobertura estructural</w:t>
      </w:r>
      <w:r w:rsidRPr="009D3AA7">
        <w:rPr>
          <w:lang w:val="es-ES"/>
        </w:rPr>
        <w:br/>
        <w:t>TLPT‑01: Entidades obligadas que han realizado al menos un TLPT en el ciclo trienal vs. total de entidades identificadas según criterios RTS (G‑SII, O‑SII, infraestructuras de mercado, etc.).1</w:t>
      </w:r>
      <w:r w:rsidRPr="009D3AA7">
        <w:rPr>
          <w:lang w:val="es-ES"/>
        </w:rPr>
        <w:br/>
        <w:t>TLPT‑02: Porcentaje de funciones críticas de negocio cubiertas por el TLPT más reciente.</w:t>
      </w:r>
      <w:r w:rsidRPr="009D3AA7">
        <w:rPr>
          <w:lang w:val="es-ES"/>
        </w:rPr>
        <w:br/>
      </w:r>
      <w:r w:rsidRPr="009D3AA7">
        <w:rPr>
          <w:lang w:val="es-ES"/>
        </w:rPr>
        <w:br/>
      </w:r>
    </w:p>
    <w:p w14:paraId="1C9D9794" w14:textId="77777777" w:rsidR="00A915A8" w:rsidRPr="009D3AA7" w:rsidRDefault="00000000">
      <w:pPr>
        <w:pStyle w:val="Listaconvietas"/>
        <w:keepNext/>
        <w:keepLines/>
        <w:rPr>
          <w:lang w:val="es-ES"/>
        </w:rPr>
      </w:pPr>
      <w:r w:rsidRPr="009D3AA7">
        <w:rPr>
          <w:lang w:val="es-ES"/>
        </w:rPr>
        <w:t>Calidad y rigor de prueba</w:t>
      </w:r>
      <w:r w:rsidRPr="009D3AA7">
        <w:rPr>
          <w:lang w:val="es-ES"/>
        </w:rPr>
        <w:br/>
        <w:t xml:space="preserve">TLPT‑03: Porcentaje de TLPT con duración de Red </w:t>
      </w:r>
      <w:proofErr w:type="spellStart"/>
      <w:r w:rsidRPr="009D3AA7">
        <w:rPr>
          <w:lang w:val="es-ES"/>
        </w:rPr>
        <w:t>Team</w:t>
      </w:r>
      <w:proofErr w:type="spellEnd"/>
      <w:r w:rsidRPr="009D3AA7">
        <w:rPr>
          <w:lang w:val="es-ES"/>
        </w:rPr>
        <w:t xml:space="preserve"> ≥ 12 semanas y con uso efectivo de TTI alineado con GTL sectorial.261</w:t>
      </w:r>
      <w:r w:rsidRPr="009D3AA7">
        <w:rPr>
          <w:lang w:val="es-ES"/>
        </w:rPr>
        <w:br/>
        <w:t xml:space="preserve">TLPT‑04: Porcentaje de TLPT con ejercicios de </w:t>
      </w:r>
      <w:proofErr w:type="spellStart"/>
      <w:r w:rsidRPr="009D3AA7">
        <w:rPr>
          <w:lang w:val="es-ES"/>
        </w:rPr>
        <w:t>purple</w:t>
      </w:r>
      <w:proofErr w:type="spellEnd"/>
      <w:r w:rsidRPr="009D3AA7">
        <w:rPr>
          <w:lang w:val="es-ES"/>
        </w:rPr>
        <w:t xml:space="preserve"> </w:t>
      </w:r>
      <w:proofErr w:type="spellStart"/>
      <w:r w:rsidRPr="009D3AA7">
        <w:rPr>
          <w:lang w:val="es-ES"/>
        </w:rPr>
        <w:t>teaming</w:t>
      </w:r>
      <w:proofErr w:type="spellEnd"/>
      <w:r w:rsidRPr="009D3AA7">
        <w:rPr>
          <w:lang w:val="es-ES"/>
        </w:rPr>
        <w:t xml:space="preserve"> completados y documentados.</w:t>
      </w:r>
      <w:r w:rsidRPr="009D3AA7">
        <w:rPr>
          <w:lang w:val="es-ES"/>
        </w:rPr>
        <w:br/>
      </w:r>
      <w:r w:rsidRPr="009D3AA7">
        <w:rPr>
          <w:lang w:val="es-ES"/>
        </w:rPr>
        <w:br/>
      </w:r>
    </w:p>
    <w:p w14:paraId="64CCC289" w14:textId="77777777" w:rsidR="00A915A8" w:rsidRPr="009D3AA7" w:rsidRDefault="00000000">
      <w:pPr>
        <w:pStyle w:val="Listaconvietas"/>
        <w:keepNext/>
        <w:keepLines/>
        <w:rPr>
          <w:lang w:val="es-ES"/>
        </w:rPr>
      </w:pPr>
      <w:r w:rsidRPr="009D3AA7">
        <w:rPr>
          <w:lang w:val="es-ES"/>
        </w:rPr>
        <w:t>Eficacia de detección y respuesta</w:t>
      </w:r>
      <w:r w:rsidRPr="009D3AA7">
        <w:rPr>
          <w:lang w:val="es-ES"/>
        </w:rPr>
        <w:br/>
        <w:t>TLPT‑05: MTTD mediano (en horas/días) frente a ataques TLPT exitosos, por tipo de técnica (credenciales, phishing, explotación de vulnerabilidad, cadena de suministro).6</w:t>
      </w:r>
      <w:r w:rsidRPr="009D3AA7">
        <w:rPr>
          <w:lang w:val="es-ES"/>
        </w:rPr>
        <w:br/>
        <w:t>TLPT‑06: Porcentaje de ataques TLPT que alcanzan objetivos críticos sin detección previa.</w:t>
      </w:r>
      <w:r w:rsidRPr="009D3AA7">
        <w:rPr>
          <w:lang w:val="es-ES"/>
        </w:rPr>
        <w:br/>
      </w:r>
      <w:r w:rsidRPr="009D3AA7">
        <w:rPr>
          <w:lang w:val="es-ES"/>
        </w:rPr>
        <w:br/>
      </w:r>
    </w:p>
    <w:p w14:paraId="1E4FDD56" w14:textId="77777777" w:rsidR="00A915A8" w:rsidRPr="009D3AA7" w:rsidRDefault="00000000">
      <w:pPr>
        <w:pStyle w:val="Listaconvietas"/>
        <w:keepLines/>
        <w:rPr>
          <w:lang w:val="es-ES"/>
        </w:rPr>
      </w:pPr>
      <w:r w:rsidRPr="009D3AA7">
        <w:rPr>
          <w:lang w:val="es-ES"/>
        </w:rPr>
        <w:t>Gestión de vulnerabilidades</w:t>
      </w:r>
      <w:r w:rsidRPr="009D3AA7">
        <w:rPr>
          <w:lang w:val="es-ES"/>
        </w:rPr>
        <w:br/>
        <w:t>TLPT‑07: Ratio hallazgos críticos/altos por TLPT y porcentaje cerrados en plazo ≤ 6/12 meses.</w:t>
      </w:r>
      <w:r w:rsidRPr="009D3AA7">
        <w:rPr>
          <w:lang w:val="es-ES"/>
        </w:rPr>
        <w:br/>
        <w:t>TLPT‑08: Porcentaje de hallazgos TLPT recurrentes (ya aparecían en el TLPT anterior o en un TIBER‑ES previo).26</w:t>
      </w:r>
      <w:r w:rsidRPr="009D3AA7">
        <w:rPr>
          <w:lang w:val="es-ES"/>
        </w:rPr>
        <w:br/>
      </w:r>
      <w:r w:rsidRPr="009D3AA7">
        <w:rPr>
          <w:lang w:val="es-ES"/>
        </w:rPr>
        <w:br/>
      </w:r>
    </w:p>
    <w:p w14:paraId="78EADE5E" w14:textId="77777777" w:rsidR="00A915A8" w:rsidRPr="009D3AA7" w:rsidRDefault="00000000">
      <w:pPr>
        <w:pStyle w:val="Listaconvietas"/>
        <w:keepNext/>
        <w:keepLines/>
        <w:rPr>
          <w:lang w:val="es-ES"/>
        </w:rPr>
      </w:pPr>
      <w:r w:rsidRPr="009D3AA7">
        <w:rPr>
          <w:lang w:val="es-ES"/>
        </w:rPr>
        <w:t>TLPT‑01: Entidades obligadas que han realizado al menos un TLPT en el ciclo trienal vs. total de entidades identificadas según criterios RTS (G‑SII, O‑SII, infraestructuras de mercado, etc.).1</w:t>
      </w:r>
    </w:p>
    <w:p w14:paraId="6561A9D7" w14:textId="77777777" w:rsidR="00A915A8" w:rsidRPr="009D3AA7" w:rsidRDefault="00000000">
      <w:pPr>
        <w:pStyle w:val="Listaconvietas"/>
        <w:keepLines/>
        <w:rPr>
          <w:lang w:val="es-ES"/>
        </w:rPr>
      </w:pPr>
      <w:r w:rsidRPr="009D3AA7">
        <w:rPr>
          <w:lang w:val="es-ES"/>
        </w:rPr>
        <w:t>TLPT‑02: Porcentaje de funciones críticas de negocio cubiertas por el TLPT más reciente.</w:t>
      </w:r>
    </w:p>
    <w:p w14:paraId="6EBD9A4F" w14:textId="77777777" w:rsidR="00A915A8" w:rsidRPr="009D3AA7" w:rsidRDefault="00000000">
      <w:pPr>
        <w:pStyle w:val="Listaconvietas"/>
        <w:keepNext/>
        <w:keepLines/>
        <w:rPr>
          <w:lang w:val="es-ES"/>
        </w:rPr>
      </w:pPr>
      <w:r w:rsidRPr="009D3AA7">
        <w:rPr>
          <w:lang w:val="es-ES"/>
        </w:rPr>
        <w:t xml:space="preserve">TLPT‑03: Porcentaje de TLPT con duración de Red </w:t>
      </w:r>
      <w:proofErr w:type="spellStart"/>
      <w:r w:rsidRPr="009D3AA7">
        <w:rPr>
          <w:lang w:val="es-ES"/>
        </w:rPr>
        <w:t>Team</w:t>
      </w:r>
      <w:proofErr w:type="spellEnd"/>
      <w:r w:rsidRPr="009D3AA7">
        <w:rPr>
          <w:lang w:val="es-ES"/>
        </w:rPr>
        <w:t xml:space="preserve"> ≥ 12 semanas y con uso efectivo de TTI alineado con GTL sectorial.261</w:t>
      </w:r>
    </w:p>
    <w:p w14:paraId="7AD5B68A" w14:textId="77777777" w:rsidR="00A915A8" w:rsidRPr="009D3AA7" w:rsidRDefault="00000000">
      <w:pPr>
        <w:pStyle w:val="Listaconvietas"/>
        <w:keepLines/>
        <w:rPr>
          <w:lang w:val="es-ES"/>
        </w:rPr>
      </w:pPr>
      <w:r w:rsidRPr="009D3AA7">
        <w:rPr>
          <w:lang w:val="es-ES"/>
        </w:rPr>
        <w:t xml:space="preserve">TLPT‑04: Porcentaje de TLPT con ejercicios de </w:t>
      </w:r>
      <w:proofErr w:type="spellStart"/>
      <w:r w:rsidRPr="009D3AA7">
        <w:rPr>
          <w:lang w:val="es-ES"/>
        </w:rPr>
        <w:t>purple</w:t>
      </w:r>
      <w:proofErr w:type="spellEnd"/>
      <w:r w:rsidRPr="009D3AA7">
        <w:rPr>
          <w:lang w:val="es-ES"/>
        </w:rPr>
        <w:t xml:space="preserve"> </w:t>
      </w:r>
      <w:proofErr w:type="spellStart"/>
      <w:r w:rsidRPr="009D3AA7">
        <w:rPr>
          <w:lang w:val="es-ES"/>
        </w:rPr>
        <w:t>teaming</w:t>
      </w:r>
      <w:proofErr w:type="spellEnd"/>
      <w:r w:rsidRPr="009D3AA7">
        <w:rPr>
          <w:lang w:val="es-ES"/>
        </w:rPr>
        <w:t xml:space="preserve"> completados y documentados.</w:t>
      </w:r>
    </w:p>
    <w:p w14:paraId="73C8D746" w14:textId="77777777" w:rsidR="00A915A8" w:rsidRPr="009D3AA7" w:rsidRDefault="00000000">
      <w:pPr>
        <w:pStyle w:val="Listaconvietas"/>
        <w:keepNext/>
        <w:keepLines/>
        <w:rPr>
          <w:lang w:val="es-ES"/>
        </w:rPr>
      </w:pPr>
      <w:r w:rsidRPr="009D3AA7">
        <w:rPr>
          <w:lang w:val="es-ES"/>
        </w:rPr>
        <w:t>TLPT‑05: MTTD mediano (en horas/días) frente a ataques TLPT exitosos, por tipo de técnica (credenciales, phishing, explotación de vulnerabilidad, cadena de suministro).6</w:t>
      </w:r>
    </w:p>
    <w:p w14:paraId="7AF77E1B" w14:textId="77777777" w:rsidR="00A915A8" w:rsidRPr="009D3AA7" w:rsidRDefault="00000000">
      <w:pPr>
        <w:pStyle w:val="Listaconvietas"/>
        <w:keepLines/>
        <w:rPr>
          <w:lang w:val="es-ES"/>
        </w:rPr>
      </w:pPr>
      <w:r w:rsidRPr="009D3AA7">
        <w:rPr>
          <w:lang w:val="es-ES"/>
        </w:rPr>
        <w:t>TLPT‑06: Porcentaje de ataques TLPT que alcanzan objetivos críticos sin detección previa.</w:t>
      </w:r>
    </w:p>
    <w:p w14:paraId="03ADBE62" w14:textId="77777777" w:rsidR="00A915A8" w:rsidRPr="009D3AA7" w:rsidRDefault="00000000">
      <w:pPr>
        <w:pStyle w:val="Listaconvietas"/>
        <w:keepNext/>
        <w:keepLines/>
        <w:rPr>
          <w:lang w:val="es-ES"/>
        </w:rPr>
      </w:pPr>
      <w:r w:rsidRPr="009D3AA7">
        <w:rPr>
          <w:lang w:val="es-ES"/>
        </w:rPr>
        <w:t>TLPT‑07: Ratio hallazgos críticos/altos por TLPT y porcentaje cerrados en plazo ≤ 6/12 meses.</w:t>
      </w:r>
    </w:p>
    <w:p w14:paraId="3B6D70B8" w14:textId="77777777" w:rsidR="00A915A8" w:rsidRPr="009D3AA7" w:rsidRDefault="00000000">
      <w:pPr>
        <w:pStyle w:val="Listaconvietas"/>
        <w:keepLines/>
        <w:rPr>
          <w:lang w:val="es-ES"/>
        </w:rPr>
      </w:pPr>
      <w:r w:rsidRPr="009D3AA7">
        <w:rPr>
          <w:lang w:val="es-ES"/>
        </w:rPr>
        <w:t>TLPT‑08: Porcentaje de hallazgos TLPT recurrentes (ya aparecían en el TLPT anterior o en un TIBER‑ES previo).26</w:t>
      </w:r>
    </w:p>
    <w:p w14:paraId="708A28BE" w14:textId="77777777" w:rsidR="00A915A8" w:rsidRPr="009D3AA7" w:rsidRDefault="00000000">
      <w:pPr>
        <w:pStyle w:val="Ttulo3"/>
        <w:rPr>
          <w:lang w:val="es-ES"/>
        </w:rPr>
      </w:pPr>
      <w:r w:rsidRPr="009D3AA7">
        <w:rPr>
          <w:lang w:val="es-ES"/>
        </w:rPr>
        <w:lastRenderedPageBreak/>
        <w:t>3.2 Indicadores agregados país/territorio</w:t>
      </w:r>
    </w:p>
    <w:p w14:paraId="7F4A026C" w14:textId="77777777" w:rsidR="00A915A8" w:rsidRPr="009D3AA7" w:rsidRDefault="00000000">
      <w:pPr>
        <w:rPr>
          <w:lang w:val="es-ES"/>
        </w:rPr>
      </w:pPr>
      <w:r w:rsidRPr="009D3AA7">
        <w:rPr>
          <w:lang w:val="es-ES"/>
        </w:rPr>
        <w:t xml:space="preserve">Orientados a cuadros de mando nacionales, alineados con DORA y con el rol del TIBER </w:t>
      </w:r>
      <w:proofErr w:type="spellStart"/>
      <w:r w:rsidRPr="009D3AA7">
        <w:rPr>
          <w:lang w:val="es-ES"/>
        </w:rPr>
        <w:t>Cyber</w:t>
      </w:r>
      <w:proofErr w:type="spellEnd"/>
      <w:r w:rsidRPr="009D3AA7">
        <w:rPr>
          <w:lang w:val="es-ES"/>
        </w:rPr>
        <w:t xml:space="preserve"> </w:t>
      </w:r>
      <w:proofErr w:type="spellStart"/>
      <w:r w:rsidRPr="009D3AA7">
        <w:rPr>
          <w:lang w:val="es-ES"/>
        </w:rPr>
        <w:t>Team</w:t>
      </w:r>
      <w:proofErr w:type="spellEnd"/>
      <w:r w:rsidRPr="009D3AA7">
        <w:rPr>
          <w:lang w:val="es-ES"/>
        </w:rPr>
        <w:t xml:space="preserve"> español.</w:t>
      </w:r>
      <w:r>
        <w:footnoteReference w:id="14"/>
      </w:r>
      <w:r>
        <w:footnoteReference w:id="15"/>
      </w:r>
    </w:p>
    <w:p w14:paraId="554BDDBF" w14:textId="77777777" w:rsidR="00A915A8" w:rsidRPr="009D3AA7" w:rsidRDefault="00000000">
      <w:pPr>
        <w:pStyle w:val="Listaconvietas"/>
        <w:keepNext/>
        <w:keepLines/>
        <w:rPr>
          <w:lang w:val="es-ES"/>
        </w:rPr>
      </w:pPr>
      <w:r w:rsidRPr="009D3AA7">
        <w:rPr>
          <w:lang w:val="es-ES"/>
        </w:rPr>
        <w:t>Penetración TLPT</w:t>
      </w:r>
      <w:r w:rsidRPr="009D3AA7">
        <w:rPr>
          <w:lang w:val="es-ES"/>
        </w:rPr>
        <w:br/>
        <w:t>% de activos financieros nacionales (por volumen de balance, transacciones, activos bajo gestión) cubiertos por al menos un TLPT en los últimos 3 años.</w:t>
      </w:r>
      <w:r w:rsidRPr="009D3AA7">
        <w:rPr>
          <w:lang w:val="es-ES"/>
        </w:rPr>
        <w:br/>
      </w:r>
      <w:r w:rsidRPr="009D3AA7">
        <w:rPr>
          <w:lang w:val="es-ES"/>
        </w:rPr>
        <w:br/>
      </w:r>
    </w:p>
    <w:p w14:paraId="5A86D39C" w14:textId="77777777" w:rsidR="00A915A8" w:rsidRPr="009D3AA7" w:rsidRDefault="00000000">
      <w:pPr>
        <w:pStyle w:val="Listaconvietas"/>
        <w:keepNext/>
        <w:keepLines/>
        <w:rPr>
          <w:lang w:val="es-ES"/>
        </w:rPr>
      </w:pPr>
      <w:r w:rsidRPr="009D3AA7">
        <w:rPr>
          <w:lang w:val="es-ES"/>
        </w:rPr>
        <w:t>Madurez operativa</w:t>
      </w:r>
      <w:r w:rsidRPr="009D3AA7">
        <w:rPr>
          <w:lang w:val="es-ES"/>
        </w:rPr>
        <w:br/>
        <w:t xml:space="preserve">Mediana de MTTD/MTTR TLPT a nivel de país, comparada con </w:t>
      </w:r>
      <w:proofErr w:type="spellStart"/>
      <w:r w:rsidRPr="009D3AA7">
        <w:rPr>
          <w:lang w:val="es-ES"/>
        </w:rPr>
        <w:t>benchmarks</w:t>
      </w:r>
      <w:proofErr w:type="spellEnd"/>
      <w:r w:rsidRPr="009D3AA7">
        <w:rPr>
          <w:lang w:val="es-ES"/>
        </w:rPr>
        <w:t xml:space="preserve"> europeos (cuando se publiquen análisis agregados).</w:t>
      </w:r>
      <w:r w:rsidRPr="009D3AA7">
        <w:rPr>
          <w:lang w:val="es-ES"/>
        </w:rPr>
        <w:br/>
      </w:r>
      <w:r w:rsidRPr="009D3AA7">
        <w:rPr>
          <w:lang w:val="es-ES"/>
        </w:rPr>
        <w:br/>
      </w:r>
    </w:p>
    <w:p w14:paraId="0170DEBE" w14:textId="77777777" w:rsidR="00A915A8" w:rsidRPr="009D3AA7" w:rsidRDefault="00000000">
      <w:pPr>
        <w:pStyle w:val="Listaconvietas"/>
        <w:keepLines/>
        <w:rPr>
          <w:lang w:val="es-ES"/>
        </w:rPr>
      </w:pPr>
      <w:r w:rsidRPr="009D3AA7">
        <w:rPr>
          <w:lang w:val="es-ES"/>
        </w:rPr>
        <w:t>Dependencias críticas</w:t>
      </w:r>
      <w:r w:rsidRPr="009D3AA7">
        <w:rPr>
          <w:lang w:val="es-ES"/>
        </w:rPr>
        <w:br/>
        <w:t>Número de TLPT conjuntos o “</w:t>
      </w:r>
      <w:proofErr w:type="spellStart"/>
      <w:r w:rsidRPr="009D3AA7">
        <w:rPr>
          <w:lang w:val="es-ES"/>
        </w:rPr>
        <w:t>pooled</w:t>
      </w:r>
      <w:proofErr w:type="spellEnd"/>
      <w:r w:rsidRPr="009D3AA7">
        <w:rPr>
          <w:lang w:val="es-ES"/>
        </w:rPr>
        <w:t>” que involucran proveedores TIC clave (</w:t>
      </w:r>
      <w:proofErr w:type="spellStart"/>
      <w:r w:rsidRPr="009D3AA7">
        <w:rPr>
          <w:lang w:val="es-ES"/>
        </w:rPr>
        <w:t>cloud</w:t>
      </w:r>
      <w:proofErr w:type="spellEnd"/>
      <w:r w:rsidRPr="009D3AA7">
        <w:rPr>
          <w:lang w:val="es-ES"/>
        </w:rPr>
        <w:t xml:space="preserve">, </w:t>
      </w:r>
      <w:proofErr w:type="spellStart"/>
      <w:r w:rsidRPr="009D3AA7">
        <w:rPr>
          <w:lang w:val="es-ES"/>
        </w:rPr>
        <w:t>core</w:t>
      </w:r>
      <w:proofErr w:type="spellEnd"/>
      <w:r w:rsidRPr="009D3AA7">
        <w:rPr>
          <w:lang w:val="es-ES"/>
        </w:rPr>
        <w:t xml:space="preserve"> bancario, procesadores de pagos), indicando qué porcentaje del sector queda cubierto mediante estos ejercicios.1</w:t>
      </w:r>
      <w:r w:rsidRPr="009D3AA7">
        <w:rPr>
          <w:lang w:val="es-ES"/>
        </w:rPr>
        <w:br/>
      </w:r>
      <w:r w:rsidRPr="009D3AA7">
        <w:rPr>
          <w:lang w:val="es-ES"/>
        </w:rPr>
        <w:br/>
      </w:r>
    </w:p>
    <w:p w14:paraId="621DD50C" w14:textId="77777777" w:rsidR="00A915A8" w:rsidRPr="009D3AA7" w:rsidRDefault="00000000">
      <w:pPr>
        <w:pStyle w:val="Listaconvietas"/>
        <w:keepLines/>
        <w:rPr>
          <w:lang w:val="es-ES"/>
        </w:rPr>
      </w:pPr>
      <w:r w:rsidRPr="009D3AA7">
        <w:rPr>
          <w:lang w:val="es-ES"/>
        </w:rPr>
        <w:t>% de activos financieros nacionales (por volumen de balance, transacciones, activos bajo gestión) cubiertos por al menos un TLPT en los últimos 3 años.</w:t>
      </w:r>
    </w:p>
    <w:p w14:paraId="2D8305C7" w14:textId="77777777" w:rsidR="00A915A8" w:rsidRPr="009D3AA7" w:rsidRDefault="00000000">
      <w:pPr>
        <w:pStyle w:val="Listaconvietas"/>
        <w:keepLines/>
        <w:rPr>
          <w:lang w:val="es-ES"/>
        </w:rPr>
      </w:pPr>
      <w:r w:rsidRPr="009D3AA7">
        <w:rPr>
          <w:lang w:val="es-ES"/>
        </w:rPr>
        <w:t xml:space="preserve">Mediana de MTTD/MTTR TLPT a nivel de país, comparada con </w:t>
      </w:r>
      <w:proofErr w:type="spellStart"/>
      <w:r w:rsidRPr="009D3AA7">
        <w:rPr>
          <w:lang w:val="es-ES"/>
        </w:rPr>
        <w:t>benchmarks</w:t>
      </w:r>
      <w:proofErr w:type="spellEnd"/>
      <w:r w:rsidRPr="009D3AA7">
        <w:rPr>
          <w:lang w:val="es-ES"/>
        </w:rPr>
        <w:t xml:space="preserve"> europeos (cuando se publiquen análisis agregados).</w:t>
      </w:r>
    </w:p>
    <w:p w14:paraId="16816F20" w14:textId="77777777" w:rsidR="00A915A8" w:rsidRPr="009D3AA7" w:rsidRDefault="00000000">
      <w:pPr>
        <w:pStyle w:val="Listaconvietas"/>
        <w:keepLines/>
        <w:rPr>
          <w:lang w:val="es-ES"/>
        </w:rPr>
      </w:pPr>
      <w:r w:rsidRPr="009D3AA7">
        <w:rPr>
          <w:lang w:val="es-ES"/>
        </w:rPr>
        <w:t>Número de TLPT conjuntos o “</w:t>
      </w:r>
      <w:proofErr w:type="spellStart"/>
      <w:r w:rsidRPr="009D3AA7">
        <w:rPr>
          <w:lang w:val="es-ES"/>
        </w:rPr>
        <w:t>pooled</w:t>
      </w:r>
      <w:proofErr w:type="spellEnd"/>
      <w:r w:rsidRPr="009D3AA7">
        <w:rPr>
          <w:lang w:val="es-ES"/>
        </w:rPr>
        <w:t>” que involucran proveedores TIC clave (</w:t>
      </w:r>
      <w:proofErr w:type="spellStart"/>
      <w:r w:rsidRPr="009D3AA7">
        <w:rPr>
          <w:lang w:val="es-ES"/>
        </w:rPr>
        <w:t>cloud</w:t>
      </w:r>
      <w:proofErr w:type="spellEnd"/>
      <w:r w:rsidRPr="009D3AA7">
        <w:rPr>
          <w:lang w:val="es-ES"/>
        </w:rPr>
        <w:t xml:space="preserve">, </w:t>
      </w:r>
      <w:proofErr w:type="spellStart"/>
      <w:r w:rsidRPr="009D3AA7">
        <w:rPr>
          <w:lang w:val="es-ES"/>
        </w:rPr>
        <w:t>core</w:t>
      </w:r>
      <w:proofErr w:type="spellEnd"/>
      <w:r w:rsidRPr="009D3AA7">
        <w:rPr>
          <w:lang w:val="es-ES"/>
        </w:rPr>
        <w:t xml:space="preserve"> bancario, procesadores de pagos), indicando qué porcentaje del sector queda cubierto mediante estos ejercicios.1</w:t>
      </w:r>
    </w:p>
    <w:p w14:paraId="7E90CB34" w14:textId="77777777" w:rsidR="00A915A8" w:rsidRPr="009D3AA7" w:rsidRDefault="00000000">
      <w:pPr>
        <w:pStyle w:val="Ttulo2"/>
        <w:rPr>
          <w:lang w:val="es-ES"/>
        </w:rPr>
      </w:pPr>
      <w:r w:rsidRPr="009D3AA7">
        <w:rPr>
          <w:color w:val="0066CC"/>
          <w:lang w:val="es-ES"/>
        </w:rPr>
        <w:lastRenderedPageBreak/>
        <w:t>4. Comparativa internacional de indicadores TLPT</w:t>
      </w:r>
    </w:p>
    <w:p w14:paraId="13D08D05" w14:textId="77777777" w:rsidR="00A915A8" w:rsidRPr="009D3AA7" w:rsidRDefault="00000000">
      <w:pPr>
        <w:pStyle w:val="Ttulo3"/>
        <w:rPr>
          <w:lang w:val="es-ES"/>
        </w:rPr>
      </w:pPr>
      <w:r w:rsidRPr="009D3AA7">
        <w:rPr>
          <w:lang w:val="es-ES"/>
        </w:rPr>
        <w:t>4.1 Europa (DORA + TIBER‑EU)</w:t>
      </w:r>
    </w:p>
    <w:p w14:paraId="42BEA759" w14:textId="77777777" w:rsidR="00A915A8" w:rsidRPr="009D3AA7" w:rsidRDefault="00000000">
      <w:pPr>
        <w:pStyle w:val="Listaconvietas"/>
        <w:keepNext/>
        <w:keepLines/>
        <w:rPr>
          <w:lang w:val="es-ES"/>
        </w:rPr>
      </w:pPr>
      <w:r w:rsidRPr="009D3AA7">
        <w:rPr>
          <w:lang w:val="es-ES"/>
        </w:rPr>
        <w:t>Estándar común</w:t>
      </w:r>
      <w:r w:rsidRPr="009D3AA7">
        <w:rPr>
          <w:lang w:val="es-ES"/>
        </w:rPr>
        <w:br/>
        <w:t>Los RTS de 2024 fijan requisitos homogéneos para criterios de selección, metodología, fases y cooperación supervisora, lo que permite comparar indicadores como frecuencia, cobertura, severidad de hallazgos y tiempos de remediación entre Estados miembros.31</w:t>
      </w:r>
      <w:r w:rsidRPr="009D3AA7">
        <w:rPr>
          <w:lang w:val="es-ES"/>
        </w:rPr>
        <w:br/>
      </w:r>
      <w:r w:rsidRPr="009D3AA7">
        <w:rPr>
          <w:lang w:val="es-ES"/>
        </w:rPr>
        <w:br/>
      </w:r>
    </w:p>
    <w:p w14:paraId="2726D375" w14:textId="77777777" w:rsidR="00A915A8" w:rsidRPr="009D3AA7" w:rsidRDefault="00000000">
      <w:pPr>
        <w:pStyle w:val="Listaconvietas"/>
        <w:keepLines/>
        <w:rPr>
          <w:lang w:val="es-ES"/>
        </w:rPr>
      </w:pPr>
      <w:r w:rsidRPr="009D3AA7">
        <w:rPr>
          <w:lang w:val="es-ES"/>
        </w:rPr>
        <w:t>Caso España</w:t>
      </w:r>
      <w:r w:rsidRPr="009D3AA7">
        <w:rPr>
          <w:lang w:val="es-ES"/>
        </w:rPr>
        <w:br/>
      </w:r>
      <w:proofErr w:type="spellStart"/>
      <w:r w:rsidRPr="009D3AA7">
        <w:rPr>
          <w:lang w:val="es-ES"/>
        </w:rPr>
        <w:t>España</w:t>
      </w:r>
      <w:proofErr w:type="spellEnd"/>
      <w:r w:rsidRPr="009D3AA7">
        <w:rPr>
          <w:lang w:val="es-ES"/>
        </w:rPr>
        <w:t xml:space="preserve"> parte con ventaja al tener TIBER‑ES operativo desde 2022; muchas métricas ya existen de facto (banderas, tiempos, cobertura) y solo requieren alineación terminológica con DORA.62</w:t>
      </w:r>
      <w:r w:rsidRPr="009D3AA7">
        <w:rPr>
          <w:lang w:val="es-ES"/>
        </w:rPr>
        <w:br/>
      </w:r>
      <w:r w:rsidRPr="009D3AA7">
        <w:rPr>
          <w:lang w:val="es-ES"/>
        </w:rPr>
        <w:br/>
      </w:r>
    </w:p>
    <w:p w14:paraId="178AE5FB" w14:textId="77777777" w:rsidR="00A915A8" w:rsidRPr="009D3AA7" w:rsidRDefault="00000000">
      <w:pPr>
        <w:pStyle w:val="Listaconvietas"/>
        <w:keepLines/>
        <w:rPr>
          <w:lang w:val="es-ES"/>
        </w:rPr>
      </w:pPr>
      <w:r w:rsidRPr="009D3AA7">
        <w:rPr>
          <w:lang w:val="es-ES"/>
        </w:rPr>
        <w:t>Los RTS de 2024 fijan requisitos homogéneos para criterios de selección, metodología, fases y cooperación supervisora, lo que permite comparar indicadores como frecuencia, cobertura, severidad de hallazgos y tiempos de remediación entre Estados miembros.31</w:t>
      </w:r>
    </w:p>
    <w:p w14:paraId="46A583AF" w14:textId="77777777" w:rsidR="00A915A8" w:rsidRPr="009D3AA7" w:rsidRDefault="00000000">
      <w:pPr>
        <w:pStyle w:val="Listaconvietas"/>
        <w:keepLines/>
        <w:rPr>
          <w:lang w:val="es-ES"/>
        </w:rPr>
      </w:pPr>
      <w:r w:rsidRPr="009D3AA7">
        <w:rPr>
          <w:lang w:val="es-ES"/>
        </w:rPr>
        <w:t>España parte con ventaja al tener TIBER‑ES operativo desde 2022; muchas métricas ya existen de facto (banderas, tiempos, cobertura) y solo requieren alineación terminológica con DORA.62</w:t>
      </w:r>
    </w:p>
    <w:p w14:paraId="56B99E93" w14:textId="77777777" w:rsidR="00A915A8" w:rsidRDefault="00000000">
      <w:pPr>
        <w:pStyle w:val="Ttulo3"/>
      </w:pPr>
      <w:r>
        <w:t xml:space="preserve">4.2 </w:t>
      </w:r>
      <w:proofErr w:type="spellStart"/>
      <w:r>
        <w:t>Reino</w:t>
      </w:r>
      <w:proofErr w:type="spellEnd"/>
      <w:r>
        <w:t xml:space="preserve"> </w:t>
      </w:r>
      <w:proofErr w:type="spellStart"/>
      <w:r>
        <w:t>Unido</w:t>
      </w:r>
      <w:proofErr w:type="spellEnd"/>
      <w:r>
        <w:t xml:space="preserve"> (CBEST) y otros</w:t>
      </w:r>
    </w:p>
    <w:p w14:paraId="2A054A9D" w14:textId="77777777" w:rsidR="00A915A8" w:rsidRPr="009D3AA7" w:rsidRDefault="00000000">
      <w:pPr>
        <w:pStyle w:val="Listaconvietas"/>
        <w:keepNext/>
        <w:keepLines/>
        <w:rPr>
          <w:lang w:val="es-ES"/>
        </w:rPr>
      </w:pPr>
      <w:r w:rsidRPr="009D3AA7">
        <w:rPr>
          <w:lang w:val="es-ES"/>
        </w:rPr>
        <w:t>Reino Unido</w:t>
      </w:r>
      <w:r w:rsidRPr="009D3AA7">
        <w:rPr>
          <w:lang w:val="es-ES"/>
        </w:rPr>
        <w:br/>
        <w:t>CBEST, precursor de TIBER‑EU, ya utilizaba indicadores similares (éxito de escenarios, tiempo de detección, calidad de respuesta) en ejercicios orientados a infraestructuras críticas financieras; la convergencia con TLPT es alta, aunque el lenguaje normativo es distinto.</w:t>
      </w:r>
      <w:r w:rsidRPr="009D3AA7">
        <w:rPr>
          <w:lang w:val="es-ES"/>
        </w:rPr>
        <w:br/>
      </w:r>
      <w:r w:rsidRPr="009D3AA7">
        <w:rPr>
          <w:lang w:val="es-ES"/>
        </w:rPr>
        <w:br/>
      </w:r>
    </w:p>
    <w:p w14:paraId="280C4161" w14:textId="77777777" w:rsidR="00A915A8" w:rsidRPr="009D3AA7" w:rsidRDefault="00000000">
      <w:pPr>
        <w:pStyle w:val="Listaconvietas"/>
        <w:keepLines/>
        <w:rPr>
          <w:lang w:val="es-ES"/>
        </w:rPr>
      </w:pPr>
      <w:r w:rsidRPr="009D3AA7">
        <w:rPr>
          <w:lang w:val="es-ES"/>
        </w:rPr>
        <w:t>Estados Unidos y otros</w:t>
      </w:r>
      <w:r w:rsidRPr="009D3AA7">
        <w:rPr>
          <w:lang w:val="es-ES"/>
        </w:rPr>
        <w:br/>
        <w:t>No cuentan con un RTS TLPT equivalente, pero se aproximan a través de marcos de “</w:t>
      </w:r>
      <w:proofErr w:type="spellStart"/>
      <w:r w:rsidRPr="009D3AA7">
        <w:rPr>
          <w:lang w:val="es-ES"/>
        </w:rPr>
        <w:t>assumed</w:t>
      </w:r>
      <w:proofErr w:type="spellEnd"/>
      <w:r w:rsidRPr="009D3AA7">
        <w:rPr>
          <w:lang w:val="es-ES"/>
        </w:rPr>
        <w:t xml:space="preserve"> </w:t>
      </w:r>
      <w:proofErr w:type="spellStart"/>
      <w:r w:rsidRPr="009D3AA7">
        <w:rPr>
          <w:lang w:val="es-ES"/>
        </w:rPr>
        <w:t>breach</w:t>
      </w:r>
      <w:proofErr w:type="spellEnd"/>
      <w:r w:rsidRPr="009D3AA7">
        <w:rPr>
          <w:lang w:val="es-ES"/>
        </w:rPr>
        <w:t>”, red‑</w:t>
      </w:r>
      <w:proofErr w:type="spellStart"/>
      <w:r w:rsidRPr="009D3AA7">
        <w:rPr>
          <w:lang w:val="es-ES"/>
        </w:rPr>
        <w:t>teaming</w:t>
      </w:r>
      <w:proofErr w:type="spellEnd"/>
      <w:r w:rsidRPr="009D3AA7">
        <w:rPr>
          <w:lang w:val="es-ES"/>
        </w:rPr>
        <w:t xml:space="preserve"> continuado y pruebas adversariales avanzadas ligadas a NIST CSF, con métricas de eficacia de controles, tiempos de contención y cobertura de monitoreo, que pueden mapearse a indicadores TLPT.</w:t>
      </w:r>
      <w:r w:rsidRPr="009D3AA7">
        <w:rPr>
          <w:lang w:val="es-ES"/>
        </w:rPr>
        <w:br/>
      </w:r>
      <w:r w:rsidRPr="009D3AA7">
        <w:rPr>
          <w:lang w:val="es-ES"/>
        </w:rPr>
        <w:br/>
      </w:r>
    </w:p>
    <w:p w14:paraId="7934DFA1" w14:textId="77777777" w:rsidR="00A915A8" w:rsidRPr="009D3AA7" w:rsidRDefault="00000000">
      <w:pPr>
        <w:pStyle w:val="Listaconvietas"/>
        <w:keepLines/>
        <w:rPr>
          <w:lang w:val="es-ES"/>
        </w:rPr>
      </w:pPr>
      <w:r w:rsidRPr="009D3AA7">
        <w:rPr>
          <w:lang w:val="es-ES"/>
        </w:rPr>
        <w:t>CBEST, precursor de TIBER‑EU, ya utilizaba indicadores similares (éxito de escenarios, tiempo de detección, calidad de respuesta) en ejercicios orientados a infraestructuras críticas financieras; la convergencia con TLPT es alta, aunque el lenguaje normativo es distinto.</w:t>
      </w:r>
    </w:p>
    <w:p w14:paraId="7C7428EF" w14:textId="77777777" w:rsidR="00A915A8" w:rsidRPr="009D3AA7" w:rsidRDefault="00000000">
      <w:pPr>
        <w:pStyle w:val="Listaconvietas"/>
        <w:keepLines/>
        <w:rPr>
          <w:lang w:val="es-ES"/>
        </w:rPr>
      </w:pPr>
      <w:r w:rsidRPr="009D3AA7">
        <w:rPr>
          <w:lang w:val="es-ES"/>
        </w:rPr>
        <w:t>No cuentan con un RTS TLPT equivalente, pero se aproximan a través de marcos de “</w:t>
      </w:r>
      <w:proofErr w:type="spellStart"/>
      <w:r w:rsidRPr="009D3AA7">
        <w:rPr>
          <w:lang w:val="es-ES"/>
        </w:rPr>
        <w:t>assumed</w:t>
      </w:r>
      <w:proofErr w:type="spellEnd"/>
      <w:r w:rsidRPr="009D3AA7">
        <w:rPr>
          <w:lang w:val="es-ES"/>
        </w:rPr>
        <w:t xml:space="preserve"> </w:t>
      </w:r>
      <w:proofErr w:type="spellStart"/>
      <w:r w:rsidRPr="009D3AA7">
        <w:rPr>
          <w:lang w:val="es-ES"/>
        </w:rPr>
        <w:t>breach</w:t>
      </w:r>
      <w:proofErr w:type="spellEnd"/>
      <w:r w:rsidRPr="009D3AA7">
        <w:rPr>
          <w:lang w:val="es-ES"/>
        </w:rPr>
        <w:t>”, red‑</w:t>
      </w:r>
      <w:proofErr w:type="spellStart"/>
      <w:r w:rsidRPr="009D3AA7">
        <w:rPr>
          <w:lang w:val="es-ES"/>
        </w:rPr>
        <w:t>teaming</w:t>
      </w:r>
      <w:proofErr w:type="spellEnd"/>
      <w:r w:rsidRPr="009D3AA7">
        <w:rPr>
          <w:lang w:val="es-ES"/>
        </w:rPr>
        <w:t xml:space="preserve"> continuado y pruebas adversariales avanzadas ligadas a NIST CSF, con métricas de eficacia de controles, tiempos de contención y cobertura de monitoreo, que pueden mapearse a indicadores TLPT.</w:t>
      </w:r>
    </w:p>
    <w:p w14:paraId="0F5345FF" w14:textId="77777777" w:rsidR="00A915A8" w:rsidRDefault="00000000">
      <w:pPr>
        <w:pStyle w:val="Ttulo3"/>
      </w:pPr>
      <w:r>
        <w:lastRenderedPageBreak/>
        <w:t xml:space="preserve">4.3 </w:t>
      </w:r>
      <w:proofErr w:type="spellStart"/>
      <w:r>
        <w:t>Tabla</w:t>
      </w:r>
      <w:proofErr w:type="spellEnd"/>
      <w:r>
        <w:t xml:space="preserve"> de </w:t>
      </w:r>
      <w:proofErr w:type="spellStart"/>
      <w:r>
        <w:t>ejes</w:t>
      </w:r>
      <w:proofErr w:type="spellEnd"/>
      <w:r>
        <w:t xml:space="preserve"> de comparación</w:t>
      </w:r>
    </w:p>
    <w:tbl>
      <w:tblPr>
        <w:tblStyle w:val="Cuadrculaclara-nfasis1"/>
        <w:tblW w:w="0" w:type="auto"/>
        <w:tblLook w:val="04A0" w:firstRow="1" w:lastRow="0" w:firstColumn="1" w:lastColumn="0" w:noHBand="0" w:noVBand="1"/>
      </w:tblPr>
      <w:tblGrid>
        <w:gridCol w:w="1786"/>
        <w:gridCol w:w="1822"/>
        <w:gridCol w:w="1817"/>
        <w:gridCol w:w="1786"/>
        <w:gridCol w:w="2129"/>
      </w:tblGrid>
      <w:tr w:rsidR="00A915A8" w14:paraId="61BF059A" w14:textId="77777777" w:rsidTr="00A915A8">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72" w:type="dxa"/>
            <w:shd w:val="clear" w:color="auto" w:fill="0033CC"/>
          </w:tcPr>
          <w:p w14:paraId="08B11424" w14:textId="77777777" w:rsidR="00A915A8" w:rsidRDefault="00000000">
            <w:pPr>
              <w:keepNext/>
              <w:keepLines/>
            </w:pPr>
            <w:r>
              <w:rPr>
                <w:color w:val="FFFFFF"/>
              </w:rPr>
              <w:t>Eje</w:t>
            </w:r>
          </w:p>
        </w:tc>
        <w:tc>
          <w:tcPr>
            <w:tcW w:w="1872" w:type="dxa"/>
            <w:shd w:val="clear" w:color="auto" w:fill="0033CC"/>
          </w:tcPr>
          <w:p w14:paraId="0C5E6E04" w14:textId="77777777" w:rsidR="00A915A8" w:rsidRDefault="00000000">
            <w:pPr>
              <w:keepNext/>
              <w:keepLines/>
              <w:cnfStyle w:val="100000000000" w:firstRow="1" w:lastRow="0" w:firstColumn="0" w:lastColumn="0" w:oddVBand="0" w:evenVBand="0" w:oddHBand="0" w:evenHBand="0" w:firstRowFirstColumn="0" w:firstRowLastColumn="0" w:lastRowFirstColumn="0" w:lastRowLastColumn="0"/>
            </w:pPr>
            <w:r>
              <w:rPr>
                <w:color w:val="FFFFFF"/>
              </w:rPr>
              <w:t>España (TIBER‑ES + DORA) 21</w:t>
            </w:r>
          </w:p>
        </w:tc>
        <w:tc>
          <w:tcPr>
            <w:tcW w:w="1872" w:type="dxa"/>
            <w:shd w:val="clear" w:color="auto" w:fill="0033CC"/>
          </w:tcPr>
          <w:p w14:paraId="1DAF4721" w14:textId="77777777" w:rsidR="00A915A8" w:rsidRPr="009D3AA7" w:rsidRDefault="00000000">
            <w:pPr>
              <w:keepNext/>
              <w:keepLines/>
              <w:cnfStyle w:val="100000000000" w:firstRow="1" w:lastRow="0" w:firstColumn="0" w:lastColumn="0" w:oddVBand="0" w:evenVBand="0" w:oddHBand="0" w:evenHBand="0" w:firstRowFirstColumn="0" w:firstRowLastColumn="0" w:lastRowFirstColumn="0" w:lastRowLastColumn="0"/>
              <w:rPr>
                <w:lang w:val="es-ES"/>
              </w:rPr>
            </w:pPr>
            <w:r w:rsidRPr="009D3AA7">
              <w:rPr>
                <w:color w:val="FFFFFF"/>
                <w:lang w:val="es-ES"/>
              </w:rPr>
              <w:t>Resto UE (TIBER‑EU + DORA) 13</w:t>
            </w:r>
          </w:p>
        </w:tc>
        <w:tc>
          <w:tcPr>
            <w:tcW w:w="1872" w:type="dxa"/>
            <w:shd w:val="clear" w:color="auto" w:fill="0033CC"/>
          </w:tcPr>
          <w:p w14:paraId="68486EE3" w14:textId="77777777" w:rsidR="00A915A8" w:rsidRDefault="00000000">
            <w:pPr>
              <w:keepNext/>
              <w:keepLines/>
              <w:cnfStyle w:val="100000000000" w:firstRow="1" w:lastRow="0" w:firstColumn="0" w:lastColumn="0" w:oddVBand="0" w:evenVBand="0" w:oddHBand="0" w:evenHBand="0" w:firstRowFirstColumn="0" w:firstRowLastColumn="0" w:lastRowFirstColumn="0" w:lastRowLastColumn="0"/>
            </w:pPr>
            <w:r>
              <w:rPr>
                <w:color w:val="FFFFFF"/>
              </w:rPr>
              <w:t>UK (CBEST)</w:t>
            </w:r>
          </w:p>
        </w:tc>
        <w:tc>
          <w:tcPr>
            <w:tcW w:w="1872" w:type="dxa"/>
            <w:shd w:val="clear" w:color="auto" w:fill="0033CC"/>
          </w:tcPr>
          <w:p w14:paraId="3DD2F99E" w14:textId="77777777" w:rsidR="00A915A8" w:rsidRDefault="00000000">
            <w:pPr>
              <w:keepNext/>
              <w:keepLines/>
              <w:cnfStyle w:val="100000000000" w:firstRow="1" w:lastRow="0" w:firstColumn="0" w:lastColumn="0" w:oddVBand="0" w:evenVBand="0" w:oddHBand="0" w:evenHBand="0" w:firstRowFirstColumn="0" w:firstRowLastColumn="0" w:lastRowFirstColumn="0" w:lastRowLastColumn="0"/>
            </w:pPr>
            <w:r>
              <w:rPr>
                <w:color w:val="FFFFFF"/>
              </w:rPr>
              <w:t>EEUU / otros</w:t>
            </w:r>
          </w:p>
        </w:tc>
      </w:tr>
      <w:tr w:rsidR="00A915A8" w14:paraId="253E0D83" w14:textId="77777777" w:rsidTr="00A915A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72" w:type="dxa"/>
          </w:tcPr>
          <w:p w14:paraId="7846D1AA" w14:textId="77777777" w:rsidR="00A915A8" w:rsidRDefault="00000000">
            <w:pPr>
              <w:keepNext/>
              <w:keepLines/>
            </w:pPr>
            <w:r>
              <w:t>Naturaleza TLPT</w:t>
            </w:r>
          </w:p>
        </w:tc>
        <w:tc>
          <w:tcPr>
            <w:tcW w:w="1872" w:type="dxa"/>
          </w:tcPr>
          <w:p w14:paraId="4FE6561A" w14:textId="77777777" w:rsidR="00A915A8" w:rsidRDefault="00000000">
            <w:pPr>
              <w:keepNext/>
              <w:keepLines/>
              <w:cnfStyle w:val="000000100000" w:firstRow="0" w:lastRow="0" w:firstColumn="0" w:lastColumn="0" w:oddVBand="0" w:evenVBand="0" w:oddHBand="1" w:evenHBand="0" w:firstRowFirstColumn="0" w:firstRowLastColumn="0" w:lastRowFirstColumn="0" w:lastRowLastColumn="0"/>
            </w:pPr>
            <w:r>
              <w:t>Obligatoria para entidades designadas</w:t>
            </w:r>
          </w:p>
        </w:tc>
        <w:tc>
          <w:tcPr>
            <w:tcW w:w="1872" w:type="dxa"/>
          </w:tcPr>
          <w:p w14:paraId="5281FA23" w14:textId="77777777" w:rsidR="00A915A8" w:rsidRDefault="00000000">
            <w:pPr>
              <w:keepNext/>
              <w:keepLines/>
              <w:cnfStyle w:val="000000100000" w:firstRow="0" w:lastRow="0" w:firstColumn="0" w:lastColumn="0" w:oddVBand="0" w:evenVBand="0" w:oddHBand="1" w:evenHBand="0" w:firstRowFirstColumn="0" w:firstRowLastColumn="0" w:lastRowFirstColumn="0" w:lastRowLastColumn="0"/>
            </w:pPr>
            <w:r>
              <w:t>Obligatoria para entidades designadas</w:t>
            </w:r>
          </w:p>
        </w:tc>
        <w:tc>
          <w:tcPr>
            <w:tcW w:w="1872" w:type="dxa"/>
          </w:tcPr>
          <w:p w14:paraId="5F65F09F" w14:textId="77777777" w:rsidR="00A915A8" w:rsidRDefault="00000000">
            <w:pPr>
              <w:keepNext/>
              <w:keepLines/>
              <w:cnfStyle w:val="000000100000" w:firstRow="0" w:lastRow="0" w:firstColumn="0" w:lastColumn="0" w:oddVBand="0" w:evenVBand="0" w:oddHBand="1" w:evenHBand="0" w:firstRowFirstColumn="0" w:firstRowLastColumn="0" w:lastRowFirstColumn="0" w:lastRowLastColumn="0"/>
            </w:pPr>
            <w:r>
              <w:t>Sectorial</w:t>
            </w:r>
          </w:p>
        </w:tc>
        <w:tc>
          <w:tcPr>
            <w:tcW w:w="1872" w:type="dxa"/>
          </w:tcPr>
          <w:p w14:paraId="64CCF0C8" w14:textId="77777777" w:rsidR="00A915A8" w:rsidRDefault="00000000">
            <w:pPr>
              <w:keepNext/>
              <w:keepLines/>
              <w:cnfStyle w:val="000000100000" w:firstRow="0" w:lastRow="0" w:firstColumn="0" w:lastColumn="0" w:oddVBand="0" w:evenVBand="0" w:oddHBand="1" w:evenHBand="0" w:firstRowFirstColumn="0" w:firstRowLastColumn="0" w:lastRowFirstColumn="0" w:lastRowLastColumn="0"/>
            </w:pPr>
            <w:r>
              <w:t>Voluntaria/sectorial</w:t>
            </w:r>
          </w:p>
        </w:tc>
      </w:tr>
      <w:tr w:rsidR="00A915A8" w14:paraId="5DCDCD5A" w14:textId="77777777" w:rsidTr="00A915A8">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72" w:type="dxa"/>
          </w:tcPr>
          <w:p w14:paraId="589920CC" w14:textId="77777777" w:rsidR="00A915A8" w:rsidRDefault="00000000">
            <w:pPr>
              <w:keepNext/>
              <w:keepLines/>
            </w:pPr>
            <w:r>
              <w:t>Marco técnico</w:t>
            </w:r>
          </w:p>
        </w:tc>
        <w:tc>
          <w:tcPr>
            <w:tcW w:w="1872" w:type="dxa"/>
          </w:tcPr>
          <w:p w14:paraId="058C1385" w14:textId="77777777" w:rsidR="00A915A8" w:rsidRPr="009D3AA7" w:rsidRDefault="00000000">
            <w:pPr>
              <w:keepNext/>
              <w:keepLines/>
              <w:cnfStyle w:val="000000010000" w:firstRow="0" w:lastRow="0" w:firstColumn="0" w:lastColumn="0" w:oddVBand="0" w:evenVBand="0" w:oddHBand="0" w:evenHBand="1" w:firstRowFirstColumn="0" w:firstRowLastColumn="0" w:lastRowFirstColumn="0" w:lastRowLastColumn="0"/>
              <w:rPr>
                <w:lang w:val="es-ES"/>
              </w:rPr>
            </w:pPr>
            <w:r w:rsidRPr="009D3AA7">
              <w:rPr>
                <w:lang w:val="es-ES"/>
              </w:rPr>
              <w:t>TIBER‑ES alineado con TIBER‑EU</w:t>
            </w:r>
          </w:p>
        </w:tc>
        <w:tc>
          <w:tcPr>
            <w:tcW w:w="1872" w:type="dxa"/>
          </w:tcPr>
          <w:p w14:paraId="69D58DE3" w14:textId="77777777" w:rsidR="00A915A8" w:rsidRDefault="00000000">
            <w:pPr>
              <w:keepNext/>
              <w:keepLines/>
              <w:cnfStyle w:val="000000010000" w:firstRow="0" w:lastRow="0" w:firstColumn="0" w:lastColumn="0" w:oddVBand="0" w:evenVBand="0" w:oddHBand="0" w:evenHBand="1" w:firstRowFirstColumn="0" w:firstRowLastColumn="0" w:lastRowFirstColumn="0" w:lastRowLastColumn="0"/>
            </w:pPr>
            <w:r>
              <w:t xml:space="preserve">TIBER‑EU </w:t>
            </w:r>
            <w:proofErr w:type="spellStart"/>
            <w:r>
              <w:t>nacional</w:t>
            </w:r>
            <w:proofErr w:type="spellEnd"/>
          </w:p>
        </w:tc>
        <w:tc>
          <w:tcPr>
            <w:tcW w:w="1872" w:type="dxa"/>
          </w:tcPr>
          <w:p w14:paraId="40B11CA0" w14:textId="77777777" w:rsidR="00A915A8" w:rsidRDefault="00000000">
            <w:pPr>
              <w:keepNext/>
              <w:keepLines/>
              <w:cnfStyle w:val="000000010000" w:firstRow="0" w:lastRow="0" w:firstColumn="0" w:lastColumn="0" w:oddVBand="0" w:evenVBand="0" w:oddHBand="0" w:evenHBand="1" w:firstRowFirstColumn="0" w:firstRowLastColumn="0" w:lastRowFirstColumn="0" w:lastRowLastColumn="0"/>
            </w:pPr>
            <w:r>
              <w:t>CBEST</w:t>
            </w:r>
          </w:p>
        </w:tc>
        <w:tc>
          <w:tcPr>
            <w:tcW w:w="1872" w:type="dxa"/>
          </w:tcPr>
          <w:p w14:paraId="65A3F3D3" w14:textId="77777777" w:rsidR="00A915A8" w:rsidRDefault="00000000">
            <w:pPr>
              <w:keepNext/>
              <w:keepLines/>
              <w:cnfStyle w:val="000000010000" w:firstRow="0" w:lastRow="0" w:firstColumn="0" w:lastColumn="0" w:oddVBand="0" w:evenVBand="0" w:oddHBand="0" w:evenHBand="1" w:firstRowFirstColumn="0" w:firstRowLastColumn="0" w:lastRowFirstColumn="0" w:lastRowLastColumn="0"/>
            </w:pPr>
            <w:r>
              <w:t>NIST/propios</w:t>
            </w:r>
          </w:p>
        </w:tc>
      </w:tr>
      <w:tr w:rsidR="00A915A8" w14:paraId="56F5F820" w14:textId="77777777" w:rsidTr="00A915A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72" w:type="dxa"/>
          </w:tcPr>
          <w:p w14:paraId="3B4BDE85" w14:textId="77777777" w:rsidR="00A915A8" w:rsidRDefault="00000000">
            <w:pPr>
              <w:keepNext/>
              <w:keepLines/>
            </w:pPr>
            <w:r>
              <w:t>Duración Red Team</w:t>
            </w:r>
          </w:p>
        </w:tc>
        <w:tc>
          <w:tcPr>
            <w:tcW w:w="1872" w:type="dxa"/>
          </w:tcPr>
          <w:p w14:paraId="68A47293" w14:textId="77777777" w:rsidR="00A915A8" w:rsidRDefault="00000000">
            <w:pPr>
              <w:keepNext/>
              <w:keepLines/>
              <w:cnfStyle w:val="000000100000" w:firstRow="0" w:lastRow="0" w:firstColumn="0" w:lastColumn="0" w:oddVBand="0" w:evenVBand="0" w:oddHBand="1" w:evenHBand="0" w:firstRowFirstColumn="0" w:firstRowLastColumn="0" w:lastRowFirstColumn="0" w:lastRowLastColumn="0"/>
            </w:pPr>
            <w:r>
              <w:t>≥ 12 semanas</w:t>
            </w:r>
          </w:p>
        </w:tc>
        <w:tc>
          <w:tcPr>
            <w:tcW w:w="1872" w:type="dxa"/>
          </w:tcPr>
          <w:p w14:paraId="07CC5E94" w14:textId="77777777" w:rsidR="00A915A8" w:rsidRDefault="00000000">
            <w:pPr>
              <w:keepNext/>
              <w:keepLines/>
              <w:cnfStyle w:val="000000100000" w:firstRow="0" w:lastRow="0" w:firstColumn="0" w:lastColumn="0" w:oddVBand="0" w:evenVBand="0" w:oddHBand="1" w:evenHBand="0" w:firstRowFirstColumn="0" w:firstRowLastColumn="0" w:lastRowFirstColumn="0" w:lastRowLastColumn="0"/>
            </w:pPr>
            <w:r>
              <w:t>≥ 12 semanas</w:t>
            </w:r>
          </w:p>
        </w:tc>
        <w:tc>
          <w:tcPr>
            <w:tcW w:w="1872" w:type="dxa"/>
          </w:tcPr>
          <w:p w14:paraId="4654F9D4" w14:textId="77777777" w:rsidR="00A915A8" w:rsidRDefault="00000000">
            <w:pPr>
              <w:keepNext/>
              <w:keepLines/>
              <w:cnfStyle w:val="000000100000" w:firstRow="0" w:lastRow="0" w:firstColumn="0" w:lastColumn="0" w:oddVBand="0" w:evenVBand="0" w:oddHBand="1" w:evenHBand="0" w:firstRowFirstColumn="0" w:firstRowLastColumn="0" w:lastRowFirstColumn="0" w:lastRowLastColumn="0"/>
            </w:pPr>
            <w:r>
              <w:t>Variable</w:t>
            </w:r>
          </w:p>
        </w:tc>
        <w:tc>
          <w:tcPr>
            <w:tcW w:w="1872" w:type="dxa"/>
          </w:tcPr>
          <w:p w14:paraId="45011E58" w14:textId="77777777" w:rsidR="00A915A8" w:rsidRDefault="00000000">
            <w:pPr>
              <w:keepNext/>
              <w:keepLines/>
              <w:cnfStyle w:val="000000100000" w:firstRow="0" w:lastRow="0" w:firstColumn="0" w:lastColumn="0" w:oddVBand="0" w:evenVBand="0" w:oddHBand="1" w:evenHBand="0" w:firstRowFirstColumn="0" w:firstRowLastColumn="0" w:lastRowFirstColumn="0" w:lastRowLastColumn="0"/>
            </w:pPr>
            <w:r>
              <w:t>Variable</w:t>
            </w:r>
          </w:p>
        </w:tc>
      </w:tr>
      <w:tr w:rsidR="00A915A8" w14:paraId="53833E5E" w14:textId="77777777" w:rsidTr="00A915A8">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72" w:type="dxa"/>
          </w:tcPr>
          <w:p w14:paraId="353CBB84" w14:textId="77777777" w:rsidR="00A915A8" w:rsidRDefault="00000000">
            <w:pPr>
              <w:keepNext/>
              <w:keepLines/>
            </w:pPr>
            <w:r>
              <w:t>Foco métricas</w:t>
            </w:r>
          </w:p>
        </w:tc>
        <w:tc>
          <w:tcPr>
            <w:tcW w:w="1872" w:type="dxa"/>
          </w:tcPr>
          <w:p w14:paraId="75F29343" w14:textId="77777777" w:rsidR="00A915A8" w:rsidRPr="009D3AA7" w:rsidRDefault="00000000">
            <w:pPr>
              <w:keepNext/>
              <w:keepLines/>
              <w:cnfStyle w:val="000000010000" w:firstRow="0" w:lastRow="0" w:firstColumn="0" w:lastColumn="0" w:oddVBand="0" w:evenVBand="0" w:oddHBand="0" w:evenHBand="1" w:firstRowFirstColumn="0" w:firstRowLastColumn="0" w:lastRowFirstColumn="0" w:lastRowLastColumn="0"/>
              <w:rPr>
                <w:lang w:val="es-ES"/>
              </w:rPr>
            </w:pPr>
            <w:r w:rsidRPr="009D3AA7">
              <w:rPr>
                <w:lang w:val="es-ES"/>
              </w:rPr>
              <w:t>Función crítica, MTTD/MTTR, remediación</w:t>
            </w:r>
          </w:p>
        </w:tc>
        <w:tc>
          <w:tcPr>
            <w:tcW w:w="1872" w:type="dxa"/>
          </w:tcPr>
          <w:p w14:paraId="76086926" w14:textId="77777777" w:rsidR="00A915A8" w:rsidRDefault="00000000">
            <w:pPr>
              <w:keepNext/>
              <w:keepLines/>
              <w:cnfStyle w:val="000000010000" w:firstRow="0" w:lastRow="0" w:firstColumn="0" w:lastColumn="0" w:oddVBand="0" w:evenVBand="0" w:oddHBand="0" w:evenHBand="1" w:firstRowFirstColumn="0" w:firstRowLastColumn="0" w:lastRowFirstColumn="0" w:lastRowLastColumn="0"/>
            </w:pPr>
            <w:r>
              <w:t xml:space="preserve">Idem, con </w:t>
            </w:r>
            <w:proofErr w:type="spellStart"/>
            <w:r>
              <w:t>variaciones</w:t>
            </w:r>
            <w:proofErr w:type="spellEnd"/>
            <w:r>
              <w:t xml:space="preserve"> locales</w:t>
            </w:r>
          </w:p>
        </w:tc>
        <w:tc>
          <w:tcPr>
            <w:tcW w:w="1872" w:type="dxa"/>
          </w:tcPr>
          <w:p w14:paraId="3BB6C1BA" w14:textId="77777777" w:rsidR="00A915A8" w:rsidRDefault="00000000">
            <w:pPr>
              <w:keepNext/>
              <w:keepLines/>
              <w:cnfStyle w:val="000000010000" w:firstRow="0" w:lastRow="0" w:firstColumn="0" w:lastColumn="0" w:oddVBand="0" w:evenVBand="0" w:oddHBand="0" w:evenHBand="1" w:firstRowFirstColumn="0" w:firstRowLastColumn="0" w:lastRowFirstColumn="0" w:lastRowLastColumn="0"/>
            </w:pPr>
            <w:r>
              <w:t>Escenarios, respuesta</w:t>
            </w:r>
          </w:p>
        </w:tc>
        <w:tc>
          <w:tcPr>
            <w:tcW w:w="1872" w:type="dxa"/>
          </w:tcPr>
          <w:p w14:paraId="6D32DE33" w14:textId="77777777" w:rsidR="00A915A8" w:rsidRDefault="00000000">
            <w:pPr>
              <w:keepNext/>
              <w:keepLines/>
              <w:cnfStyle w:val="000000010000" w:firstRow="0" w:lastRow="0" w:firstColumn="0" w:lastColumn="0" w:oddVBand="0" w:evenVBand="0" w:oddHBand="0" w:evenHBand="1" w:firstRowFirstColumn="0" w:firstRowLastColumn="0" w:lastRowFirstColumn="0" w:lastRowLastColumn="0"/>
            </w:pPr>
            <w:r>
              <w:t>Controles, tiempos</w:t>
            </w:r>
          </w:p>
        </w:tc>
      </w:tr>
      <w:tr w:rsidR="00A915A8" w14:paraId="03246B07" w14:textId="77777777" w:rsidTr="00A915A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72" w:type="dxa"/>
          </w:tcPr>
          <w:p w14:paraId="6CFC6EF1" w14:textId="77777777" w:rsidR="00A915A8" w:rsidRDefault="00000000">
            <w:pPr>
              <w:keepLines/>
            </w:pPr>
            <w:r>
              <w:t>Supervisión y attestation</w:t>
            </w:r>
          </w:p>
        </w:tc>
        <w:tc>
          <w:tcPr>
            <w:tcW w:w="1872" w:type="dxa"/>
          </w:tcPr>
          <w:p w14:paraId="2B3908BD" w14:textId="77777777" w:rsidR="00A915A8" w:rsidRDefault="00000000">
            <w:pPr>
              <w:keepLines/>
              <w:cnfStyle w:val="000000100000" w:firstRow="0" w:lastRow="0" w:firstColumn="0" w:lastColumn="0" w:oddVBand="0" w:evenVBand="0" w:oddHBand="1" w:evenHBand="0" w:firstRowFirstColumn="0" w:firstRowLastColumn="0" w:lastRowFirstColumn="0" w:lastRowLastColumn="0"/>
            </w:pPr>
            <w:r>
              <w:t>Attestation TLPT nacional</w:t>
            </w:r>
          </w:p>
        </w:tc>
        <w:tc>
          <w:tcPr>
            <w:tcW w:w="1872" w:type="dxa"/>
          </w:tcPr>
          <w:p w14:paraId="461117CC" w14:textId="77777777" w:rsidR="00A915A8" w:rsidRDefault="00000000">
            <w:pPr>
              <w:keepLines/>
              <w:cnfStyle w:val="000000100000" w:firstRow="0" w:lastRow="0" w:firstColumn="0" w:lastColumn="0" w:oddVBand="0" w:evenVBand="0" w:oddHBand="1" w:evenHBand="0" w:firstRowFirstColumn="0" w:firstRowLastColumn="0" w:lastRowFirstColumn="0" w:lastRowLastColumn="0"/>
            </w:pPr>
            <w:r>
              <w:t>Attestation TLPT nacional/EMI</w:t>
            </w:r>
          </w:p>
        </w:tc>
        <w:tc>
          <w:tcPr>
            <w:tcW w:w="1872" w:type="dxa"/>
          </w:tcPr>
          <w:p w14:paraId="18CABE7C" w14:textId="77777777" w:rsidR="00A915A8" w:rsidRDefault="00000000">
            <w:pPr>
              <w:keepLines/>
              <w:cnfStyle w:val="000000100000" w:firstRow="0" w:lastRow="0" w:firstColumn="0" w:lastColumn="0" w:oddVBand="0" w:evenVBand="0" w:oddHBand="1" w:evenHBand="0" w:firstRowFirstColumn="0" w:firstRowLastColumn="0" w:lastRowFirstColumn="0" w:lastRowLastColumn="0"/>
            </w:pPr>
            <w:r>
              <w:t>Regulador sectorial</w:t>
            </w:r>
          </w:p>
        </w:tc>
        <w:tc>
          <w:tcPr>
            <w:tcW w:w="1872" w:type="dxa"/>
          </w:tcPr>
          <w:p w14:paraId="34FA5890" w14:textId="77777777" w:rsidR="00A915A8" w:rsidRDefault="00000000">
            <w:pPr>
              <w:keepLines/>
              <w:cnfStyle w:val="000000100000" w:firstRow="0" w:lastRow="0" w:firstColumn="0" w:lastColumn="0" w:oddVBand="0" w:evenVBand="0" w:oddHBand="1" w:evenHBand="0" w:firstRowFirstColumn="0" w:firstRowLastColumn="0" w:lastRowFirstColumn="0" w:lastRowLastColumn="0"/>
            </w:pPr>
            <w:r>
              <w:t>Diverso</w:t>
            </w:r>
          </w:p>
        </w:tc>
      </w:tr>
    </w:tbl>
    <w:p w14:paraId="272A8F6F" w14:textId="77777777" w:rsidR="00A915A8" w:rsidRDefault="00A915A8"/>
    <w:p w14:paraId="26CD6F64" w14:textId="77777777" w:rsidR="00A915A8" w:rsidRPr="009D3AA7" w:rsidRDefault="00000000">
      <w:pPr>
        <w:pStyle w:val="Ttulo2"/>
        <w:rPr>
          <w:lang w:val="es-ES"/>
        </w:rPr>
      </w:pPr>
      <w:r w:rsidRPr="009D3AA7">
        <w:rPr>
          <w:color w:val="0066CC"/>
          <w:lang w:val="es-ES"/>
        </w:rPr>
        <w:t>5. Líneas de evolución 2025‑2027 en indicadores TLPT</w:t>
      </w:r>
    </w:p>
    <w:p w14:paraId="3237268C" w14:textId="77777777" w:rsidR="00A915A8" w:rsidRPr="009D3AA7" w:rsidRDefault="00000000">
      <w:pPr>
        <w:pStyle w:val="Listaconvietas"/>
        <w:keepNext/>
        <w:keepLines/>
        <w:rPr>
          <w:lang w:val="es-ES"/>
        </w:rPr>
      </w:pPr>
      <w:r w:rsidRPr="009D3AA7">
        <w:rPr>
          <w:lang w:val="es-ES"/>
        </w:rPr>
        <w:t>De “pasar el examen” a medir resiliencia real</w:t>
      </w:r>
      <w:r w:rsidRPr="009D3AA7">
        <w:rPr>
          <w:lang w:val="es-ES"/>
        </w:rPr>
        <w:br/>
        <w:t>El RTS deja claro que TLPT es un mínimo y que las autoridades pueden exigir ir más allá, lo que empujará métricas de madurez (ej. integración con Zero Trust, automatización de respuesta, calidad de telemetría) más allá del simple “conté los hallazgos”.21</w:t>
      </w:r>
      <w:r w:rsidRPr="009D3AA7">
        <w:rPr>
          <w:lang w:val="es-ES"/>
        </w:rPr>
        <w:br/>
      </w:r>
      <w:r w:rsidRPr="009D3AA7">
        <w:rPr>
          <w:lang w:val="es-ES"/>
        </w:rPr>
        <w:br/>
      </w:r>
    </w:p>
    <w:p w14:paraId="08CE8CD3" w14:textId="77777777" w:rsidR="00A915A8" w:rsidRPr="009D3AA7" w:rsidRDefault="00000000">
      <w:pPr>
        <w:pStyle w:val="Listaconvietas"/>
        <w:keepNext/>
        <w:keepLines/>
        <w:rPr>
          <w:lang w:val="es-ES"/>
        </w:rPr>
      </w:pPr>
      <w:r w:rsidRPr="009D3AA7">
        <w:rPr>
          <w:lang w:val="es-ES"/>
        </w:rPr>
        <w:t>Más enfoque en terceros y pruebas conjuntas</w:t>
      </w:r>
      <w:r w:rsidRPr="009D3AA7">
        <w:rPr>
          <w:lang w:val="es-ES"/>
        </w:rPr>
        <w:br/>
        <w:t>Crecen las figuras de “</w:t>
      </w:r>
      <w:proofErr w:type="spellStart"/>
      <w:r w:rsidRPr="009D3AA7">
        <w:rPr>
          <w:lang w:val="es-ES"/>
        </w:rPr>
        <w:t>pooled</w:t>
      </w:r>
      <w:proofErr w:type="spellEnd"/>
      <w:r w:rsidRPr="009D3AA7">
        <w:rPr>
          <w:lang w:val="es-ES"/>
        </w:rPr>
        <w:t xml:space="preserve"> test” y “</w:t>
      </w:r>
      <w:proofErr w:type="spellStart"/>
      <w:r w:rsidRPr="009D3AA7">
        <w:rPr>
          <w:lang w:val="es-ES"/>
        </w:rPr>
        <w:t>joint</w:t>
      </w:r>
      <w:proofErr w:type="spellEnd"/>
      <w:r w:rsidRPr="009D3AA7">
        <w:rPr>
          <w:lang w:val="es-ES"/>
        </w:rPr>
        <w:t xml:space="preserve"> test” que obligan a definir indicadores sobre proveedores TIC compartidos (qué parte del riesgo sistémico se ha ejercitado realmente, cuántas funciones críticas de varios bancos dependen del mismo incidente simulado).1</w:t>
      </w:r>
      <w:r w:rsidRPr="009D3AA7">
        <w:rPr>
          <w:lang w:val="es-ES"/>
        </w:rPr>
        <w:br/>
      </w:r>
      <w:r w:rsidRPr="009D3AA7">
        <w:rPr>
          <w:lang w:val="es-ES"/>
        </w:rPr>
        <w:br/>
      </w:r>
    </w:p>
    <w:p w14:paraId="76FD2476" w14:textId="77777777" w:rsidR="00A915A8" w:rsidRPr="009D3AA7" w:rsidRDefault="00000000">
      <w:pPr>
        <w:pStyle w:val="Listaconvietas"/>
        <w:keepLines/>
        <w:rPr>
          <w:lang w:val="es-ES"/>
        </w:rPr>
      </w:pPr>
      <w:r w:rsidRPr="009D3AA7">
        <w:rPr>
          <w:lang w:val="es-ES"/>
        </w:rPr>
        <w:t xml:space="preserve">Internalización controlada del Red </w:t>
      </w:r>
      <w:proofErr w:type="spellStart"/>
      <w:r w:rsidRPr="009D3AA7">
        <w:rPr>
          <w:lang w:val="es-ES"/>
        </w:rPr>
        <w:t>Team</w:t>
      </w:r>
      <w:proofErr w:type="spellEnd"/>
      <w:r w:rsidRPr="009D3AA7">
        <w:rPr>
          <w:lang w:val="es-ES"/>
        </w:rPr>
        <w:br/>
        <w:t xml:space="preserve">DORA permite </w:t>
      </w:r>
      <w:proofErr w:type="spellStart"/>
      <w:r w:rsidRPr="009D3AA7">
        <w:rPr>
          <w:lang w:val="es-ES"/>
        </w:rPr>
        <w:t>testers</w:t>
      </w:r>
      <w:proofErr w:type="spellEnd"/>
      <w:r w:rsidRPr="009D3AA7">
        <w:rPr>
          <w:lang w:val="es-ES"/>
        </w:rPr>
        <w:t xml:space="preserve"> internos con salvaguardas y exige externalizar al menos cada tercer test, lo que abre la puerta a indicadores de capacidad interna (número de pruebas adversariales internas al año, calidad de los informes, independencia) que complementen el TLPT regulatorio.1</w:t>
      </w:r>
      <w:r w:rsidRPr="009D3AA7">
        <w:rPr>
          <w:lang w:val="es-ES"/>
        </w:rPr>
        <w:br/>
      </w:r>
      <w:r w:rsidRPr="009D3AA7">
        <w:rPr>
          <w:lang w:val="es-ES"/>
        </w:rPr>
        <w:br/>
      </w:r>
    </w:p>
    <w:p w14:paraId="686CAA57" w14:textId="77777777" w:rsidR="00A915A8" w:rsidRPr="009D3AA7" w:rsidRDefault="00000000">
      <w:pPr>
        <w:pStyle w:val="Listaconvietas"/>
        <w:keepLines/>
        <w:rPr>
          <w:lang w:val="es-ES"/>
        </w:rPr>
      </w:pPr>
      <w:r w:rsidRPr="009D3AA7">
        <w:rPr>
          <w:lang w:val="es-ES"/>
        </w:rPr>
        <w:t>El RTS deja claro que TLPT es un mínimo y que las autoridades pueden exigir ir más allá, lo que empujará métricas de madurez (ej. integración con Zero Trust, automatización de respuesta, calidad de telemetría) más allá del simple “conté los hallazgos”.21</w:t>
      </w:r>
    </w:p>
    <w:p w14:paraId="2BCFC5F7" w14:textId="77777777" w:rsidR="00A915A8" w:rsidRPr="009D3AA7" w:rsidRDefault="00000000">
      <w:pPr>
        <w:pStyle w:val="Listaconvietas"/>
        <w:keepLines/>
        <w:rPr>
          <w:lang w:val="es-ES"/>
        </w:rPr>
      </w:pPr>
      <w:r w:rsidRPr="009D3AA7">
        <w:rPr>
          <w:lang w:val="es-ES"/>
        </w:rPr>
        <w:lastRenderedPageBreak/>
        <w:t>Crecen las figuras de “</w:t>
      </w:r>
      <w:proofErr w:type="spellStart"/>
      <w:r w:rsidRPr="009D3AA7">
        <w:rPr>
          <w:lang w:val="es-ES"/>
        </w:rPr>
        <w:t>pooled</w:t>
      </w:r>
      <w:proofErr w:type="spellEnd"/>
      <w:r w:rsidRPr="009D3AA7">
        <w:rPr>
          <w:lang w:val="es-ES"/>
        </w:rPr>
        <w:t xml:space="preserve"> test” y “</w:t>
      </w:r>
      <w:proofErr w:type="spellStart"/>
      <w:r w:rsidRPr="009D3AA7">
        <w:rPr>
          <w:lang w:val="es-ES"/>
        </w:rPr>
        <w:t>joint</w:t>
      </w:r>
      <w:proofErr w:type="spellEnd"/>
      <w:r w:rsidRPr="009D3AA7">
        <w:rPr>
          <w:lang w:val="es-ES"/>
        </w:rPr>
        <w:t xml:space="preserve"> test” que obligan a definir indicadores sobre proveedores TIC compartidos (qué parte del riesgo sistémico se ha ejercitado realmente, cuántas funciones críticas de varios bancos dependen del mismo incidente simulado).1</w:t>
      </w:r>
    </w:p>
    <w:p w14:paraId="5CEA5FF5" w14:textId="77777777" w:rsidR="00A915A8" w:rsidRPr="009D3AA7" w:rsidRDefault="00000000">
      <w:pPr>
        <w:pStyle w:val="Listaconvietas"/>
        <w:keepLines/>
        <w:rPr>
          <w:lang w:val="es-ES"/>
        </w:rPr>
      </w:pPr>
      <w:r w:rsidRPr="009D3AA7">
        <w:rPr>
          <w:lang w:val="es-ES"/>
        </w:rPr>
        <w:t xml:space="preserve">DORA permite </w:t>
      </w:r>
      <w:proofErr w:type="spellStart"/>
      <w:r w:rsidRPr="009D3AA7">
        <w:rPr>
          <w:lang w:val="es-ES"/>
        </w:rPr>
        <w:t>testers</w:t>
      </w:r>
      <w:proofErr w:type="spellEnd"/>
      <w:r w:rsidRPr="009D3AA7">
        <w:rPr>
          <w:lang w:val="es-ES"/>
        </w:rPr>
        <w:t xml:space="preserve"> internos con salvaguardas y exige externalizar al menos cada tercer test, lo que abre la puerta a indicadores de capacidad interna (número de pruebas adversariales internas al año, calidad de los informes, independencia) que complementen el TLPT regulatorio.1</w:t>
      </w:r>
    </w:p>
    <w:p w14:paraId="267021EE" w14:textId="77777777" w:rsidR="00A915A8" w:rsidRDefault="00000000">
      <w:r>
        <w:t>101112131415161718192021222324252627282930789</w:t>
      </w:r>
    </w:p>
    <w:sectPr w:rsidR="00A915A8" w:rsidSect="00034616">
      <w:headerReference w:type="default" r:id="rId8"/>
      <w:pgSz w:w="12240" w:h="15840"/>
      <w:pgMar w:top="216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A7E6E2A" w14:textId="77777777" w:rsidR="00977D92" w:rsidRDefault="00977D92">
      <w:pPr>
        <w:spacing w:after="0" w:line="240" w:lineRule="auto"/>
      </w:pPr>
      <w:r>
        <w:separator/>
      </w:r>
    </w:p>
  </w:endnote>
  <w:endnote w:type="continuationSeparator" w:id="0">
    <w:p w14:paraId="6604CEDE" w14:textId="77777777" w:rsidR="00977D92" w:rsidRDefault="00977D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6846DE2" w14:textId="77777777" w:rsidR="00977D92" w:rsidRDefault="00977D92">
      <w:pPr>
        <w:spacing w:after="0" w:line="240" w:lineRule="auto"/>
      </w:pPr>
      <w:r>
        <w:separator/>
      </w:r>
    </w:p>
  </w:footnote>
  <w:footnote w:type="continuationSeparator" w:id="0">
    <w:p w14:paraId="3F3645B0" w14:textId="77777777" w:rsidR="00977D92" w:rsidRDefault="00977D92">
      <w:pPr>
        <w:spacing w:after="0" w:line="240" w:lineRule="auto"/>
      </w:pPr>
      <w:r>
        <w:continuationSeparator/>
      </w:r>
    </w:p>
  </w:footnote>
  <w:footnote w:id="1">
    <w:p w14:paraId="16C6FDB4" w14:textId="77777777" w:rsidR="00A915A8" w:rsidRDefault="00000000">
      <w:pPr>
        <w:spacing w:after="60" w:line="240" w:lineRule="auto"/>
        <w:ind w:left="360" w:hanging="180"/>
      </w:pPr>
      <w:r>
        <w:rPr>
          <w:sz w:val="16"/>
        </w:rPr>
        <w:footnoteRef/>
      </w:r>
      <w:r>
        <w:rPr>
          <w:color w:val="404040"/>
          <w:sz w:val="18"/>
        </w:rPr>
        <w:t xml:space="preserve"> https://www.tarlogic.com/es/blog/pruebas-tlpt/</w:t>
      </w:r>
    </w:p>
  </w:footnote>
  <w:footnote w:id="2">
    <w:p w14:paraId="6AFF9112" w14:textId="77777777" w:rsidR="00A915A8" w:rsidRDefault="00000000">
      <w:pPr>
        <w:spacing w:after="60" w:line="240" w:lineRule="auto"/>
        <w:ind w:left="360" w:hanging="180"/>
      </w:pPr>
      <w:r>
        <w:rPr>
          <w:sz w:val="16"/>
        </w:rPr>
        <w:footnoteRef/>
      </w:r>
      <w:r>
        <w:rPr>
          <w:color w:val="404040"/>
          <w:sz w:val="18"/>
        </w:rPr>
        <w:t xml:space="preserve"> https://www.alter-solutions.es/pruebas-penetracion-amenazas-tlpt</w:t>
      </w:r>
    </w:p>
  </w:footnote>
  <w:footnote w:id="3">
    <w:p w14:paraId="696D3F98" w14:textId="77777777" w:rsidR="00A915A8" w:rsidRDefault="00000000">
      <w:pPr>
        <w:spacing w:after="60" w:line="240" w:lineRule="auto"/>
        <w:ind w:left="360" w:hanging="180"/>
      </w:pPr>
      <w:r>
        <w:rPr>
          <w:sz w:val="16"/>
        </w:rPr>
        <w:footnoteRef/>
      </w:r>
      <w:r>
        <w:rPr>
          <w:color w:val="404040"/>
          <w:sz w:val="18"/>
        </w:rPr>
        <w:t xml:space="preserve"> https://itresit.es/dora-pruebas-tlpt/</w:t>
      </w:r>
    </w:p>
  </w:footnote>
  <w:footnote w:id="4">
    <w:p w14:paraId="1F2DA52E" w14:textId="77777777" w:rsidR="00A915A8" w:rsidRDefault="00000000">
      <w:pPr>
        <w:spacing w:after="60" w:line="240" w:lineRule="auto"/>
        <w:ind w:left="360" w:hanging="180"/>
      </w:pPr>
      <w:r>
        <w:rPr>
          <w:sz w:val="16"/>
        </w:rPr>
        <w:footnoteRef/>
      </w:r>
      <w:r>
        <w:rPr>
          <w:color w:val="404040"/>
          <w:sz w:val="18"/>
        </w:rPr>
        <w:t xml:space="preserve"> https://www.alter-solutions.es/pruebas-penetracion-amenazas-tlpt</w:t>
      </w:r>
    </w:p>
  </w:footnote>
  <w:footnote w:id="5">
    <w:p w14:paraId="35268BF6" w14:textId="77777777" w:rsidR="00A915A8" w:rsidRDefault="00000000">
      <w:pPr>
        <w:spacing w:after="60" w:line="240" w:lineRule="auto"/>
        <w:ind w:left="360" w:hanging="180"/>
      </w:pPr>
      <w:r>
        <w:rPr>
          <w:sz w:val="16"/>
        </w:rPr>
        <w:footnoteRef/>
      </w:r>
      <w:r>
        <w:rPr>
          <w:color w:val="404040"/>
          <w:sz w:val="18"/>
        </w:rPr>
        <w:t xml:space="preserve"> https://www.alter-solutions.es/pruebas-penetracion-amenazas-tlpt</w:t>
      </w:r>
    </w:p>
  </w:footnote>
  <w:footnote w:id="6">
    <w:p w14:paraId="22D42354" w14:textId="77777777" w:rsidR="00A915A8" w:rsidRDefault="00000000">
      <w:pPr>
        <w:spacing w:after="60" w:line="240" w:lineRule="auto"/>
        <w:ind w:left="360" w:hanging="180"/>
      </w:pPr>
      <w:r>
        <w:rPr>
          <w:sz w:val="16"/>
        </w:rPr>
        <w:footnoteRef/>
      </w:r>
      <w:r>
        <w:rPr>
          <w:color w:val="404040"/>
          <w:sz w:val="18"/>
        </w:rPr>
        <w:t xml:space="preserve"> https://itresit.es/dora-pruebas-tlpt/</w:t>
      </w:r>
    </w:p>
  </w:footnote>
  <w:footnote w:id="7">
    <w:p w14:paraId="3F5C0184" w14:textId="77777777" w:rsidR="00A915A8" w:rsidRDefault="00000000">
      <w:pPr>
        <w:spacing w:after="60" w:line="240" w:lineRule="auto"/>
        <w:ind w:left="360" w:hanging="180"/>
      </w:pPr>
      <w:r>
        <w:rPr>
          <w:sz w:val="16"/>
        </w:rPr>
        <w:footnoteRef/>
      </w:r>
      <w:r>
        <w:rPr>
          <w:color w:val="404040"/>
          <w:sz w:val="18"/>
        </w:rPr>
        <w:t xml:space="preserve"> https://www.tarlogic.com/es/blog/pruebas-tlpt/</w:t>
      </w:r>
    </w:p>
  </w:footnote>
  <w:footnote w:id="8">
    <w:p w14:paraId="47B3010A" w14:textId="77777777" w:rsidR="00A915A8" w:rsidRDefault="00000000">
      <w:pPr>
        <w:spacing w:after="60" w:line="240" w:lineRule="auto"/>
        <w:ind w:left="360" w:hanging="180"/>
      </w:pPr>
      <w:r>
        <w:rPr>
          <w:sz w:val="16"/>
        </w:rPr>
        <w:footnoteRef/>
      </w:r>
      <w:r>
        <w:rPr>
          <w:color w:val="404040"/>
          <w:sz w:val="18"/>
        </w:rPr>
        <w:t xml:space="preserve"> https://www.tarlogic.com/es/blog/pruebas-tlpt/</w:t>
      </w:r>
    </w:p>
  </w:footnote>
  <w:footnote w:id="9">
    <w:p w14:paraId="393BBF8A" w14:textId="77777777" w:rsidR="00A915A8" w:rsidRDefault="00000000">
      <w:pPr>
        <w:spacing w:after="60" w:line="240" w:lineRule="auto"/>
        <w:ind w:left="360" w:hanging="180"/>
      </w:pPr>
      <w:r>
        <w:rPr>
          <w:sz w:val="16"/>
        </w:rPr>
        <w:footnoteRef/>
      </w:r>
      <w:r>
        <w:rPr>
          <w:color w:val="404040"/>
          <w:sz w:val="18"/>
        </w:rPr>
        <w:t xml:space="preserve"> https://www.alter-solutions.es/pruebas-penetracion-amenazas-tlpt</w:t>
      </w:r>
    </w:p>
  </w:footnote>
  <w:footnote w:id="10">
    <w:p w14:paraId="442FE1FB" w14:textId="77777777" w:rsidR="00A915A8" w:rsidRDefault="00000000">
      <w:pPr>
        <w:spacing w:after="60" w:line="240" w:lineRule="auto"/>
        <w:ind w:left="360" w:hanging="180"/>
      </w:pPr>
      <w:r>
        <w:rPr>
          <w:sz w:val="16"/>
        </w:rPr>
        <w:footnoteRef/>
      </w:r>
      <w:r>
        <w:rPr>
          <w:color w:val="404040"/>
          <w:sz w:val="18"/>
        </w:rPr>
        <w:t xml:space="preserve"> https://itresit.es/dora-pruebas-tlpt/</w:t>
      </w:r>
    </w:p>
  </w:footnote>
  <w:footnote w:id="11">
    <w:p w14:paraId="7BFD33A5" w14:textId="77777777" w:rsidR="00A915A8" w:rsidRDefault="00000000">
      <w:pPr>
        <w:spacing w:after="60" w:line="240" w:lineRule="auto"/>
        <w:ind w:left="360" w:hanging="180"/>
      </w:pPr>
      <w:r>
        <w:rPr>
          <w:sz w:val="16"/>
        </w:rPr>
        <w:footnoteRef/>
      </w:r>
      <w:r>
        <w:rPr>
          <w:color w:val="404040"/>
          <w:sz w:val="18"/>
        </w:rPr>
        <w:t xml:space="preserve"> https://www.alter-solutions.es/pruebas-penetracion-amenazas-tlpt</w:t>
      </w:r>
    </w:p>
  </w:footnote>
  <w:footnote w:id="12">
    <w:p w14:paraId="3BB33C80" w14:textId="77777777" w:rsidR="00A915A8" w:rsidRDefault="00000000">
      <w:pPr>
        <w:spacing w:after="60" w:line="240" w:lineRule="auto"/>
        <w:ind w:left="360" w:hanging="180"/>
      </w:pPr>
      <w:r>
        <w:rPr>
          <w:sz w:val="16"/>
        </w:rPr>
        <w:footnoteRef/>
      </w:r>
      <w:r>
        <w:rPr>
          <w:color w:val="404040"/>
          <w:sz w:val="18"/>
        </w:rPr>
        <w:t xml:space="preserve"> https://www.tarlogic.com/es/blog/pruebas-tlpt/</w:t>
      </w:r>
    </w:p>
  </w:footnote>
  <w:footnote w:id="13">
    <w:p w14:paraId="6624C234" w14:textId="77777777" w:rsidR="00A915A8" w:rsidRDefault="00000000">
      <w:pPr>
        <w:spacing w:after="60" w:line="240" w:lineRule="auto"/>
        <w:ind w:left="360" w:hanging="180"/>
      </w:pPr>
      <w:r>
        <w:rPr>
          <w:sz w:val="16"/>
        </w:rPr>
        <w:footnoteRef/>
      </w:r>
      <w:r>
        <w:rPr>
          <w:color w:val="404040"/>
          <w:sz w:val="18"/>
        </w:rPr>
        <w:t xml:space="preserve"> https://itresit.es/dora-pruebas-tlpt/</w:t>
      </w:r>
    </w:p>
  </w:footnote>
  <w:footnote w:id="14">
    <w:p w14:paraId="2B3B3E93" w14:textId="77777777" w:rsidR="00A915A8" w:rsidRDefault="00000000">
      <w:pPr>
        <w:spacing w:after="60" w:line="240" w:lineRule="auto"/>
        <w:ind w:left="360" w:hanging="180"/>
      </w:pPr>
      <w:r>
        <w:rPr>
          <w:sz w:val="16"/>
        </w:rPr>
        <w:footnoteRef/>
      </w:r>
      <w:r>
        <w:rPr>
          <w:color w:val="404040"/>
          <w:sz w:val="18"/>
        </w:rPr>
        <w:t xml:space="preserve"> https://www.tarlogic.com/es/blog/pruebas-tlpt/</w:t>
      </w:r>
    </w:p>
  </w:footnote>
  <w:footnote w:id="15">
    <w:p w14:paraId="1ADC66A5" w14:textId="77777777" w:rsidR="00A915A8" w:rsidRDefault="00000000">
      <w:pPr>
        <w:spacing w:after="60" w:line="240" w:lineRule="auto"/>
        <w:ind w:left="360" w:hanging="180"/>
      </w:pPr>
      <w:r>
        <w:rPr>
          <w:sz w:val="16"/>
        </w:rPr>
        <w:footnoteRef/>
      </w:r>
      <w:r>
        <w:rPr>
          <w:color w:val="404040"/>
          <w:sz w:val="18"/>
        </w:rPr>
        <w:t xml:space="preserve"> https://www.alter-solutions.es/pruebas-penetracion-amenazas-tlpt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66D395" w14:textId="77777777" w:rsidR="00A915A8" w:rsidRDefault="00000000">
    <w:pPr>
      <w:pStyle w:val="Encabezado"/>
      <w:jc w:val="center"/>
    </w:pPr>
    <w:r>
      <w:rPr>
        <w:noProof/>
      </w:rPr>
      <w:drawing>
        <wp:inline distT="0" distB="0" distL="0" distR="0" wp14:anchorId="586B20C2" wp14:editId="20D4978F">
          <wp:extent cx="5943600" cy="31059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CIBE+ULE.png"/>
                  <pic:cNvPicPr/>
                </pic:nvPicPr>
                <pic:blipFill>
                  <a:blip r:embed="rId1"/>
                  <a:stretch>
                    <a:fillRect/>
                  </a:stretch>
                </pic:blipFill>
                <pic:spPr>
                  <a:xfrm>
                    <a:off x="0" y="0"/>
                    <a:ext cx="5943600" cy="310597"/>
                  </a:xfrm>
                  <a:prstGeom prst="rect">
                    <a:avLst/>
                  </a:prstGeom>
                </pic:spPr>
              </pic:pic>
            </a:graphicData>
          </a:graphic>
        </wp:inline>
      </w:drawing>
    </w:r>
  </w:p>
  <w:p w14:paraId="6CCFF137" w14:textId="77777777" w:rsidR="00A915A8" w:rsidRDefault="00A915A8">
    <w:pPr>
      <w:spacing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245793">
    <w:abstractNumId w:val="8"/>
  </w:num>
  <w:num w:numId="2" w16cid:durableId="1839811996">
    <w:abstractNumId w:val="6"/>
  </w:num>
  <w:num w:numId="3" w16cid:durableId="926616917">
    <w:abstractNumId w:val="5"/>
  </w:num>
  <w:num w:numId="4" w16cid:durableId="1343124980">
    <w:abstractNumId w:val="4"/>
  </w:num>
  <w:num w:numId="5" w16cid:durableId="594172332">
    <w:abstractNumId w:val="7"/>
  </w:num>
  <w:num w:numId="6" w16cid:durableId="516426085">
    <w:abstractNumId w:val="3"/>
  </w:num>
  <w:num w:numId="7" w16cid:durableId="1924411252">
    <w:abstractNumId w:val="2"/>
  </w:num>
  <w:num w:numId="8" w16cid:durableId="998920715">
    <w:abstractNumId w:val="1"/>
  </w:num>
  <w:num w:numId="9" w16cid:durableId="7505442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2"/>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977D92"/>
    <w:rsid w:val="009D3AA7"/>
    <w:rsid w:val="00A915A8"/>
    <w:rsid w:val="00AA1D8D"/>
    <w:rsid w:val="00B47730"/>
    <w:rsid w:val="00CB0664"/>
    <w:rsid w:val="00CF30D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DB2E30"/>
  <w14:defaultImageDpi w14:val="300"/>
  <w15:docId w15:val="{AF66E61D-B2C3-714C-A4EC-896C48680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2581</Words>
  <Characters>14201</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16749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Enrique López González</cp:lastModifiedBy>
  <cp:revision>2</cp:revision>
  <dcterms:created xsi:type="dcterms:W3CDTF">2026-04-10T18:20:00Z</dcterms:created>
  <dcterms:modified xsi:type="dcterms:W3CDTF">2026-04-10T18:20:00Z</dcterms:modified>
  <cp:category/>
</cp:coreProperties>
</file>