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ISO/IEC 27001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marco integra el enfoque Goal‑Question‑Metric (GQM) con los criterios PRAGMATIC para diseñar, evaluar y gobernar indicadores de ciberseguridad alineados con ISO/IEC 27001:2022 y con objetivos nacionales y regulatorios (NIS2, estrategias de ciberseguridad, etc.). [web:40][web:43][web:51][web:46][web:52]</w:t>
      </w:r>
    </w:p>
    <w:p>
      <w:r>
        <w:t>GQM garantiza la trazabilidad descendente desde objetivos de alto nivel hasta datos técnicos, mientras que PRAGMATIC ofrece un conjunto de criterios para juzgar la “calidad” de cada métrica: Predictive, Relevant, Actionable, Genuine, Meaningful, Accurate, Timely, Independent, Cheap. [web:44][web:49][web:52]</w:t>
      </w:r>
    </w:p>
    <w:p>
      <w:pPr>
        <w:pStyle w:val="Heading2"/>
        <w:keepNext/>
        <w:keepLines/>
      </w:pPr>
      <w:r>
        <w:rPr>
          <w:color w:val="0066CC"/>
        </w:rPr>
        <w:t>2. Resumen del enfoque GQM</w:t>
      </w:r>
    </w:p>
    <w:p>
      <w:r>
        <w:t>GQM propone una estructura jerárquica:</w:t>
      </w:r>
    </w:p>
    <w:p>
      <w:pPr>
        <w:pStyle w:val="ListBullet"/>
        <w:keepLines w:val="1"/>
        <w:keepNext w:val="1"/>
        <w:widowControl w:val="1"/>
      </w:pPr>
      <w:r>
        <w:t xml:space="preserve">Goal (Objetivo): qué se quiere lograr y por qué, en un contexto concreto.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qué hay que preguntar para saber si avanzamos hacia el objetivo.  </w:t>
      </w:r>
    </w:p>
    <w:p>
      <w:pPr>
        <w:pStyle w:val="ListBullet"/>
        <w:keepLines w:val="1"/>
        <w:widowControl w:val="1"/>
      </w:pPr>
      <w:r>
        <w:t>Metric (Métrica): qué medimos, con qué fórmula y con qué datos, para responder a la pregunta. [web:40][web:43][web:51]</w:t>
      </w:r>
    </w:p>
    <w:p>
      <w:r>
        <w:t>En nuestro contexto, los objetivos pueden alinearse con:</w:t>
      </w:r>
    </w:p>
    <w:p>
      <w:pPr>
        <w:pStyle w:val="ListBullet"/>
        <w:keepLines w:val="1"/>
        <w:keepNext w:val="1"/>
        <w:widowControl w:val="1"/>
      </w:pPr>
      <w:r>
        <w:t xml:space="preserve">Objetivos nacionales / NIS2 / estrategias de ciberseguridad.  </w:t>
      </w:r>
    </w:p>
    <w:p>
      <w:pPr>
        <w:pStyle w:val="ListBullet"/>
        <w:keepLines w:val="1"/>
        <w:keepNext w:val="1"/>
        <w:widowControl w:val="1"/>
      </w:pPr>
      <w:r>
        <w:t xml:space="preserve">Objetivos de la organización y del SGSI (confidencialidad, integridad, disponibilidad, resiliencia).  </w:t>
      </w:r>
    </w:p>
    <w:p>
      <w:pPr>
        <w:pStyle w:val="ListBullet"/>
        <w:keepLines w:val="1"/>
        <w:widowControl w:val="1"/>
      </w:pPr>
      <w:r>
        <w:t>Objetivos operativos (reducción de incidentes, tiempos de respuesta, exposición, etc.). [web:43][web:50]</w:t>
      </w:r>
    </w:p>
    <w:p>
      <w:pPr>
        <w:pStyle w:val="Heading2"/>
        <w:keepNext/>
        <w:keepLines/>
      </w:pPr>
      <w:r>
        <w:rPr>
          <w:color w:val="0066CC"/>
        </w:rPr>
        <w:t>3. Resumen del marco PRAGMATIC</w:t>
      </w:r>
    </w:p>
    <w:p>
      <w:r>
        <w:t>El acrónimo PRAGMATIC se utiliza como “metamétrica” para valorar la utilidad de cada métrica: [web:44][web:49][web:52]</w:t>
      </w:r>
    </w:p>
    <w:p>
      <w:pPr>
        <w:pStyle w:val="ListBullet"/>
        <w:keepLines w:val="1"/>
        <w:keepNext w:val="1"/>
        <w:widowControl w:val="1"/>
      </w:pPr>
      <w:r>
        <w:t xml:space="preserve">P – Predictive (Predictivo): ayuda a anticipar resultados futuros, no solo a describir el pasado.  </w:t>
      </w:r>
    </w:p>
    <w:p>
      <w:pPr>
        <w:pStyle w:val="ListBullet"/>
        <w:keepLines w:val="1"/>
        <w:keepNext w:val="1"/>
        <w:widowControl w:val="1"/>
      </w:pPr>
      <w:r>
        <w:t xml:space="preserve">R – Relevant (Relevante): está claramente relacionado con objetivos de negocio y de seguridad.  </w:t>
      </w:r>
    </w:p>
    <w:p>
      <w:pPr>
        <w:pStyle w:val="ListBullet"/>
        <w:keepLines w:val="1"/>
        <w:keepNext w:val="1"/>
        <w:widowControl w:val="1"/>
      </w:pPr>
      <w:r>
        <w:t xml:space="preserve">A – Actionable (Accionable): su cambio sugiere o impulsa acciones concretas de gestión.  </w:t>
      </w:r>
    </w:p>
    <w:p>
      <w:pPr>
        <w:pStyle w:val="ListBullet"/>
        <w:keepLines w:val="1"/>
        <w:keepNext w:val="1"/>
        <w:widowControl w:val="1"/>
      </w:pPr>
      <w:r>
        <w:t xml:space="preserve">G – Genuine (Genuino): refleja la realidad, sin manipulación fácil ni efectos cosméticos.  </w:t>
      </w:r>
    </w:p>
    <w:p>
      <w:pPr>
        <w:pStyle w:val="ListBullet"/>
        <w:keepLines w:val="1"/>
        <w:keepNext w:val="1"/>
        <w:widowControl w:val="1"/>
      </w:pPr>
      <w:r>
        <w:t xml:space="preserve">M – Meaningful (Significativo): es comprensible para la audiencia objetivo y aporta interpretación.  </w:t>
      </w:r>
    </w:p>
    <w:p>
      <w:pPr>
        <w:pStyle w:val="ListBullet"/>
        <w:keepLines w:val="1"/>
        <w:keepNext w:val="1"/>
        <w:widowControl w:val="1"/>
      </w:pPr>
      <w:r>
        <w:t xml:space="preserve">A – Accurate (Preciso): los datos son suficientemente correctos para apoyar decisiones.  </w:t>
      </w:r>
    </w:p>
    <w:p>
      <w:pPr>
        <w:pStyle w:val="ListBullet"/>
        <w:keepLines w:val="1"/>
        <w:keepNext w:val="1"/>
        <w:widowControl w:val="1"/>
      </w:pPr>
      <w:r>
        <w:t xml:space="preserve">T – Timely (Oportuno): se calcula y presenta con la frecuencia adecuada.  </w:t>
      </w:r>
    </w:p>
    <w:p>
      <w:pPr>
        <w:pStyle w:val="ListBullet"/>
        <w:keepLines w:val="1"/>
        <w:keepNext w:val="1"/>
        <w:widowControl w:val="1"/>
      </w:pPr>
      <w:r>
        <w:t xml:space="preserve">I – Independent (Independiente): no está excesivamente contaminado por intereses de quien lo reporta.  </w:t>
      </w:r>
    </w:p>
    <w:p>
      <w:pPr>
        <w:pStyle w:val="ListBullet"/>
        <w:keepLines w:val="1"/>
        <w:widowControl w:val="1"/>
      </w:pPr>
      <w:r>
        <w:t xml:space="preserve">C – Cheap (Rentable): el coste de obtenerlo y mantenerlo es razonable.  </w:t>
      </w:r>
    </w:p>
    <w:p>
      <w:r>
        <w:t>Cada métrica se puntúa de 1 a 5 en cada dimensión, generando un “perfil PRAGMATIC” que permite priorizar y depurar el catálogo de indicadores.</w:t>
      </w:r>
    </w:p>
    <w:p>
      <w:pPr>
        <w:pStyle w:val="Heading2"/>
        <w:keepNext/>
        <w:keepLines/>
      </w:pPr>
      <w:r>
        <w:rPr>
          <w:color w:val="0066CC"/>
        </w:rPr>
        <w:t>4. Taxonomía de objetivos e indicadores ISO 27001 (punto de partida)</w:t>
      </w:r>
    </w:p>
    <w:p>
      <w:r>
        <w:t>Partimos de las familias de indicadores ya definidas en el informe original:</w:t>
      </w:r>
    </w:p>
    <w:p>
      <w:pPr>
        <w:pStyle w:val="ListNumber"/>
        <w:keepLines w:val="1"/>
        <w:keepNext w:val="1"/>
        <w:widowControl w:val="1"/>
      </w:pPr>
      <w:r>
        <w:t xml:space="preserve">Madurez y desempeño global del SGSI.  </w:t>
      </w:r>
    </w:p>
    <w:p>
      <w:pPr>
        <w:pStyle w:val="ListNumber"/>
        <w:keepLines w:val="1"/>
        <w:keepNext w:val="1"/>
        <w:widowControl w:val="1"/>
      </w:pPr>
      <w:r>
        <w:t xml:space="preserve">Gestión de riesgos (KRIs).  </w:t>
      </w:r>
    </w:p>
    <w:p>
      <w:pPr>
        <w:pStyle w:val="ListNumber"/>
        <w:keepLines w:val="1"/>
        <w:keepNext w:val="1"/>
        <w:widowControl w:val="1"/>
      </w:pPr>
      <w:r>
        <w:t xml:space="preserve">Controles técnicos, vulnerabilidades y exposición.  </w:t>
      </w:r>
    </w:p>
    <w:p>
      <w:pPr>
        <w:pStyle w:val="ListNumber"/>
        <w:keepLines w:val="1"/>
        <w:keepNext w:val="1"/>
        <w:widowControl w:val="1"/>
      </w:pPr>
      <w:r>
        <w:t xml:space="preserve">Incidentes, SOC y respuesta.  </w:t>
      </w:r>
    </w:p>
    <w:p>
      <w:pPr>
        <w:pStyle w:val="ListNumber"/>
        <w:keepLines w:val="1"/>
        <w:keepNext w:val="1"/>
        <w:widowControl w:val="1"/>
      </w:pPr>
      <w:r>
        <w:t xml:space="preserve">Concienciación, formación y comportamiento del usuario.  </w:t>
      </w:r>
    </w:p>
    <w:p>
      <w:pPr>
        <w:pStyle w:val="ListNumber"/>
        <w:keepLines w:val="1"/>
        <w:keepNext w:val="1"/>
        <w:widowControl w:val="1"/>
      </w:pPr>
      <w:r>
        <w:t xml:space="preserve">Continuidad de negocio y resiliencia.  </w:t>
      </w:r>
    </w:p>
    <w:p>
      <w:pPr>
        <w:pStyle w:val="ListNumber"/>
        <w:keepLines w:val="1"/>
        <w:keepNext w:val="1"/>
        <w:widowControl w:val="1"/>
      </w:pPr>
      <w:r>
        <w:t xml:space="preserve">Proveedores, terceros y cadena de suministro.  </w:t>
      </w:r>
    </w:p>
    <w:p>
      <w:pPr>
        <w:pStyle w:val="ListNumber"/>
        <w:keepLines w:val="1"/>
        <w:keepNext w:val="1"/>
        <w:widowControl w:val="1"/>
      </w:pPr>
      <w:r>
        <w:t xml:space="preserve">Entorno regulatorio y cumplimiento (NIS2, GDPR).  </w:t>
      </w:r>
    </w:p>
    <w:p>
      <w:pPr>
        <w:pStyle w:val="ListNumber"/>
        <w:keepLines w:val="1"/>
        <w:widowControl w:val="1"/>
      </w:pPr>
      <w:r>
        <w:t>Automatización, calidad de datos y gobierno de métricas.</w:t>
      </w:r>
    </w:p>
    <w:p>
      <w:r>
        <w:t>Cada familia se convierte en un conjunto de objetivos GQM, que se refinan en preguntas y métricas concretas.</w:t>
      </w:r>
    </w:p>
    <w:p>
      <w:pPr>
        <w:pStyle w:val="Heading2"/>
        <w:keepNext/>
        <w:keepLines/>
      </w:pPr>
      <w:r>
        <w:rPr>
          <w:color w:val="0066CC"/>
        </w:rPr>
        <w:t>5. Ejemplo de cadena GQM desde objetivos nacionales</w:t>
      </w:r>
    </w:p>
    <w:p>
      <w:r>
        <w:t>Tomamos un objetivo nacional simplificado inspirado en estrategias y datos de INCIBE/ENISA:</w:t>
      </w:r>
    </w:p>
    <w:p>
      <w:pPr>
        <w:pStyle w:val="ListBullet"/>
        <w:keepLines w:val="1"/>
        <w:widowControl w:val="1"/>
      </w:pPr>
      <w:r>
        <w:t>Goal G‑NAT‑1 (nivel nacional)</w:t>
        <w:br/>
        <w:t xml:space="preserve">  “Reducir en un 30 % la frecuencia y el impacto de incidentes de ciberseguridad significativos en el territorio en cinco años, especialmente en operadores esenciales y administraciones públicas.” [web:16][web:12]</w:t>
      </w:r>
    </w:p>
    <w:p>
      <w:r>
        <w:t>Este objetivo se traduce a nivel organizativo y después a métricas:</w:t>
      </w:r>
    </w:p>
    <w:p>
      <w:pPr>
        <w:pStyle w:val="ListBullet"/>
        <w:keepLines w:val="1"/>
        <w:keepNext w:val="1"/>
        <w:widowControl w:val="1"/>
      </w:pPr>
      <w:r>
        <w:br/>
        <w:t>Goal G‑ORG‑1 (nivel organizativo)</w:t>
        <w:br/>
        <w:t xml:space="preserve">  “Reducir la probabilidad y el impacto de incidentes significativos en la organización, alineando la capacidad de detección, respuesta y resiliencia con los estándares ISO 27001 y los requisitos NIS2.”  </w:t>
        <w:br/>
      </w:r>
    </w:p>
    <w:p>
      <w:pPr>
        <w:pStyle w:val="ListBullet"/>
        <w:keepLines w:val="1"/>
        <w:keepNext w:val="1"/>
        <w:widowControl w:val="1"/>
      </w:pPr>
      <w:r>
        <w:br/>
        <w:t>Questions (ejemplos)</w:t>
        <w:br/>
        <w:t xml:space="preserve">  Q‑ORG‑1.1: ¿Estamos detectando incidentes con suficiente rapidez antes de que generen un impacto grave?</w:t>
        <w:br/>
        <w:t xml:space="preserve">  Q‑ORG‑1.2: ¿Resolvemos los incidentes en los plazos acordados y con efectividad?</w:t>
        <w:br/>
        <w:t xml:space="preserve">  Q‑ORG‑1.3: ¿Se reduce la severidad media de los incidentes a lo largo del tiempo?</w:t>
        <w:br/>
      </w:r>
    </w:p>
    <w:p>
      <w:pPr>
        <w:pStyle w:val="ListBullet"/>
        <w:keepLines w:val="1"/>
        <w:widowControl w:val="1"/>
      </w:pPr>
      <w:r>
        <w:br/>
        <w:t>Metrics (ejemplos)</w:t>
        <w:br/>
        <w:t xml:space="preserve">  M‑INC‑MTTD: Tiempo medio de detección de incidentes (en horas).</w:t>
        <w:br/>
        <w:t xml:space="preserve">  M‑INC‑MTTR: Tiempo medio de respuesta/resolución de incidentes (en horas).</w:t>
        <w:br/>
        <w:t xml:space="preserve">  M‑INC‑SLA: % de incidentes resueltos dentro del SLA.</w:t>
        <w:br/>
        <w:t xml:space="preserve">  M‑INC‑SEV: Severidad media ponderada de incidentes por periodo.</w:t>
        <w:br/>
      </w:r>
    </w:p>
    <w:p>
      <w:r>
        <w:rPr>
          <w:b/>
        </w:rPr>
        <w:t>Goal G‑ORG‑1 (nivel organizativo)</w:t>
      </w:r>
      <w:r/>
      <w:r>
        <w:br/>
        <w:t xml:space="preserve">  “Reducir la probabilidad y el impacto de incidentes significativos en la organización, alineando la capacidad de detección, respuesta y resiliencia con los estándares ISO 27001 y los requisitos NIS2.”  </w:t>
      </w:r>
    </w:p>
    <w:p>
      <w:r>
        <w:rPr>
          <w:b/>
        </w:rPr>
        <w:t>Questions (ejemplos)</w:t>
      </w:r>
      <w:r/>
      <w:r>
        <w:br/>
        <w:t xml:space="preserve">  Q‑ORG‑1.1: ¿Estamos detectando incidentes con suficiente rapidez antes de que generen un impacto grave?</w:t>
      </w:r>
      <w:r/>
      <w:r>
        <w:br/>
        <w:t xml:space="preserve">  Q‑ORG‑1.2: ¿Resolvemos los incidentes en los plazos acordados y con efectividad?</w:t>
      </w:r>
      <w:r/>
      <w:r>
        <w:br/>
        <w:t xml:space="preserve">  Q‑ORG‑1.3: ¿Se reduce la severidad media de los incidentes a lo largo del tiempo?</w:t>
      </w:r>
    </w:p>
    <w:p>
      <w:r>
        <w:rPr>
          <w:b/>
        </w:rPr>
        <w:t>Metrics (ejemplos)</w:t>
      </w:r>
      <w:r/>
      <w:r>
        <w:br/>
        <w:t xml:space="preserve">  M‑INC‑MTTD: Tiempo medio de detección de incidentes (en horas).</w:t>
      </w:r>
      <w:r/>
      <w:r>
        <w:br/>
        <w:t xml:space="preserve">  M‑INC‑MTTR: Tiempo medio de respuesta/resolución de incidentes (en horas).</w:t>
      </w:r>
      <w:r/>
      <w:r>
        <w:br/>
        <w:t xml:space="preserve">  M‑INC‑SLA: % de incidentes resueltos dentro del SLA.</w:t>
      </w:r>
      <w:r/>
      <w:r>
        <w:br/>
        <w:t xml:space="preserve">  M‑INC‑SEV: Severidad media ponderada de incidentes por periodo.</w:t>
      </w:r>
    </w:p>
    <w:p>
      <w:r>
        <w:t>Cada métrica se calificará luego con PRAGMATIC y se vinculará al bloque correspondiente de la encuesta.</w:t>
      </w:r>
    </w:p>
    <w:p>
      <w:pPr>
        <w:pStyle w:val="Heading2"/>
        <w:keepNext/>
        <w:keepLines/>
      </w:pPr>
      <w:r>
        <w:rPr>
          <w:color w:val="0066CC"/>
        </w:rPr>
        <w:t>6. Catálogo resumido de objetivos GQM por familia de indicadores</w:t>
      </w:r>
    </w:p>
    <w:p>
      <w:pPr>
        <w:pStyle w:val="Heading3"/>
        <w:keepNext/>
        <w:keepLines/>
      </w:pPr>
      <w:r>
        <w:t>6.1 Madurez y desempeño global (G‑MAD‑*)</w:t>
      </w:r>
    </w:p>
    <w:p>
      <w:pPr>
        <w:pStyle w:val="ListBullet"/>
        <w:keepLines w:val="1"/>
        <w:keepNext w:val="1"/>
        <w:widowControl w:val="1"/>
      </w:pPr>
      <w:r>
        <w:t xml:space="preserve">Goal G‑MAD‑1: “Asegurar que el SGSI alcanza un nivel de madurez coherente con el perfil de riesgo de la organización y las expectativas regulatorias.”  </w:t>
      </w:r>
    </w:p>
    <w:p>
      <w:pPr>
        <w:pStyle w:val="ListBullet"/>
        <w:keepLines w:val="1"/>
        <w:keepNext w:val="1"/>
        <w:widowControl w:val="1"/>
      </w:pPr>
      <w:r>
        <w:t>Preguntas típicas:</w:t>
        <w:br/>
        <w:t xml:space="preserve">  Q‑MAD‑1.1: ¿Cuál es el nivel actual de madurez del SGSI frente al conjunto de controles?</w:t>
        <w:br/>
        <w:t xml:space="preserve">  Q‑MAD‑1.2: ¿Tiende a mejorar, estancarse o empeorar?  </w:t>
      </w:r>
    </w:p>
    <w:p>
      <w:pPr>
        <w:pStyle w:val="ListBullet"/>
        <w:keepLines w:val="1"/>
        <w:widowControl w:val="1"/>
      </w:pPr>
      <w:r>
        <w:t>Métricas ilustrativas:</w:t>
        <w:br/>
        <w:t xml:space="preserve">  M‑MAD‑SCORE: Puntuación global de madurez (0–100).</w:t>
        <w:br/>
        <w:t xml:space="preserve">  M‑MAD‑DELTA: Variación anual del nivel de madurez.</w:t>
      </w:r>
    </w:p>
    <w:p>
      <w:pPr>
        <w:pStyle w:val="Heading3"/>
        <w:keepNext/>
        <w:keepLines/>
      </w:pPr>
      <w:r>
        <w:t>6.2 Riesgos (G‑RISK‑*)</w:t>
      </w:r>
    </w:p>
    <w:p>
      <w:pPr>
        <w:pStyle w:val="ListBullet"/>
        <w:keepLines w:val="1"/>
        <w:keepNext w:val="1"/>
        <w:widowControl w:val="1"/>
      </w:pPr>
      <w:r>
        <w:t xml:space="preserve">Goal G‑RISK‑1: “Mantener los riesgos de seguridad de la información dentro del apetito de riesgo aprobado.”  </w:t>
      </w:r>
    </w:p>
    <w:p>
      <w:pPr>
        <w:pStyle w:val="ListBullet"/>
        <w:keepLines w:val="1"/>
        <w:keepNext w:val="1"/>
        <w:widowControl w:val="1"/>
      </w:pPr>
      <w:r>
        <w:t>Preguntas:</w:t>
        <w:br/>
        <w:t xml:space="preserve">  Q‑RISK‑1.1: ¿Qué porcentaje de activos críticos tiene análisis de riesgo actualizado?</w:t>
        <w:br/>
        <w:t xml:space="preserve">  Q‑RISK‑1.2: ¿Qué porcentaje de riesgos se trata en el plazo previsto?</w:t>
        <w:br/>
        <w:t xml:space="preserve">  Q‑RISK‑1.3: ¿Qué proporción de riesgos residuales supera el apetito de riesgo?  </w:t>
      </w:r>
    </w:p>
    <w:p>
      <w:pPr>
        <w:pStyle w:val="ListBullet"/>
        <w:keepLines w:val="1"/>
        <w:widowControl w:val="1"/>
      </w:pPr>
      <w:r>
        <w:t>Métricas:</w:t>
        <w:br/>
        <w:t xml:space="preserve">  M‑RISK‑ASSETS: % activos críticos con análisis vigente.</w:t>
        <w:br/>
        <w:t xml:space="preserve">  M‑RISK‑TREATED: % riesgos tratados en plazo.</w:t>
        <w:br/>
        <w:t xml:space="preserve">  M‑RISK‑OVERAPP: % riesgos residuales sobre apetito.</w:t>
      </w:r>
    </w:p>
    <w:p>
      <w:pPr>
        <w:pStyle w:val="Heading3"/>
        <w:keepNext/>
        <w:keepLines/>
      </w:pPr>
      <w:r>
        <w:t>6.3 Controles técnicos, vulnerabilidades, exposición (G‑TECH‑*)</w:t>
      </w:r>
    </w:p>
    <w:p>
      <w:pPr>
        <w:pStyle w:val="ListBullet"/>
        <w:keepLines w:val="1"/>
        <w:keepNext w:val="1"/>
        <w:widowControl w:val="1"/>
      </w:pPr>
      <w:r>
        <w:t xml:space="preserve">Goal G‑TECH‑1: “Reducir significativamente la superficie de ataque explotable mediante una gestión eficaz de vulnerabilidades y configuración segura.”  </w:t>
      </w:r>
    </w:p>
    <w:p>
      <w:pPr>
        <w:pStyle w:val="ListBullet"/>
        <w:keepLines w:val="1"/>
        <w:keepNext w:val="1"/>
        <w:widowControl w:val="1"/>
      </w:pPr>
      <w:r>
        <w:t>Preguntas:</w:t>
        <w:br/>
        <w:t xml:space="preserve">  Q‑TECH‑1.1: ¿En cuánto tiempo se corrigen vulnerabilidades críticas?</w:t>
        <w:br/>
        <w:t xml:space="preserve">  Q‑TECH‑1.2: ¿Qué porcentaje de sistemas mantiene versiones soportadas?</w:t>
        <w:br/>
        <w:t xml:space="preserve">  Q‑TECH‑1.3: ¿Qué proporción de activos expuestos a internet presenta vulnerabilidades críticas abiertas?  </w:t>
      </w:r>
    </w:p>
    <w:p>
      <w:pPr>
        <w:pStyle w:val="ListBullet"/>
        <w:keepLines w:val="1"/>
        <w:widowControl w:val="1"/>
      </w:pPr>
      <w:r>
        <w:t>Métricas:</w:t>
        <w:br/>
        <w:t xml:space="preserve">  M‑TECH‑CRIT‑MTTR: Tiempo medio de corrección de vulnerabilidades críticas.</w:t>
        <w:br/>
        <w:t xml:space="preserve">  M‑TECH‑SUPPORTED: % sistemas en versiones soportadas.</w:t>
        <w:br/>
        <w:t xml:space="preserve">  M‑TECH‑EXPOSED: % activos expuestos con vulnerabilidades críticas.</w:t>
      </w:r>
    </w:p>
    <w:p>
      <w:pPr>
        <w:pStyle w:val="Heading3"/>
        <w:keepNext/>
        <w:keepLines/>
      </w:pPr>
      <w:r>
        <w:t>6.4 Incidentes, SOC, respuesta (G‑INC‑*)</w:t>
      </w:r>
    </w:p>
    <w:p>
      <w:pPr>
        <w:pStyle w:val="ListBullet"/>
        <w:keepLines w:val="1"/>
        <w:keepNext w:val="1"/>
        <w:widowControl w:val="1"/>
      </w:pPr>
      <w:r>
        <w:t xml:space="preserve">Goal G‑INC‑1 ya ilustrado arriba.  </w:t>
      </w:r>
    </w:p>
    <w:p>
      <w:pPr>
        <w:pStyle w:val="ListBullet"/>
        <w:keepLines w:val="1"/>
        <w:widowControl w:val="1"/>
      </w:pPr>
      <w:r>
        <w:t>Métricas clave: M‑INC‑MTTD, M‑INC‑MTTR, M‑INC‑SLA, M‑INC‑SEV, M‑INC‑RECUR (tasa de reincidencia).</w:t>
      </w:r>
    </w:p>
    <w:p>
      <w:pPr>
        <w:pStyle w:val="Heading3"/>
        <w:keepNext/>
        <w:keepLines/>
      </w:pPr>
      <w:r>
        <w:t>6.5 Concienciación y comportamiento (G‑AWARE‑*)</w:t>
      </w:r>
    </w:p>
    <w:p>
      <w:pPr>
        <w:pStyle w:val="ListBullet"/>
        <w:keepLines w:val="1"/>
        <w:keepNext w:val="1"/>
        <w:widowControl w:val="1"/>
      </w:pPr>
      <w:r>
        <w:t xml:space="preserve">Goal G‑AWARE‑1: “Minimizar la probabilidad de incidentes causados por error humano a través de formación y concienciación efectivas.”  </w:t>
      </w:r>
    </w:p>
    <w:p>
      <w:pPr>
        <w:pStyle w:val="ListBullet"/>
        <w:keepLines w:val="1"/>
        <w:keepNext w:val="1"/>
        <w:widowControl w:val="1"/>
      </w:pPr>
      <w:r>
        <w:t>Preguntas:</w:t>
        <w:br/>
        <w:t xml:space="preserve">  Q‑AWARE‑1.1: ¿Qué porcentaje de empleados completa la formación obligatoria?</w:t>
        <w:br/>
        <w:t xml:space="preserve">  Q‑AWARE‑1.2: ¿Cuál es la tasa de clic en pruebas de phishing?</w:t>
        <w:br/>
        <w:t xml:space="preserve">  Q‑AWARE‑1.3: ¿Aumenta el número de reportes legítimos de phishing?  </w:t>
      </w:r>
    </w:p>
    <w:p>
      <w:pPr>
        <w:pStyle w:val="ListBullet"/>
        <w:keepLines w:val="1"/>
        <w:widowControl w:val="1"/>
      </w:pPr>
      <w:r>
        <w:t>Métricas:</w:t>
        <w:br/>
        <w:t xml:space="preserve">  M‑AWARE‑COVER: % empleados con formación completada.</w:t>
        <w:br/>
        <w:t xml:space="preserve">  M‑AWARE‑PHISH‑CLICK: % clic en simulaciones.</w:t>
        <w:br/>
        <w:t xml:space="preserve">  M‑AWARE‑PHISH‑REPORT: Nº reportes legítimos/100 empleados.</w:t>
      </w:r>
    </w:p>
    <w:p>
      <w:pPr>
        <w:pStyle w:val="Heading3"/>
        <w:keepNext/>
        <w:keepLines/>
      </w:pPr>
      <w:r>
        <w:t>6.6 Continuidad y resiliencia (G‑RES‑*)</w:t>
      </w:r>
    </w:p>
    <w:p>
      <w:pPr>
        <w:pStyle w:val="ListBullet"/>
        <w:keepLines w:val="1"/>
        <w:keepNext w:val="1"/>
        <w:widowControl w:val="1"/>
      </w:pPr>
      <w:r>
        <w:t xml:space="preserve">Goal G‑RES‑1: “Garantizar que los procesos críticos pueden recuperarse dentro de los RTO/RPO definidos.”  </w:t>
      </w:r>
    </w:p>
    <w:p>
      <w:pPr>
        <w:pStyle w:val="ListBullet"/>
        <w:keepLines w:val="1"/>
        <w:widowControl w:val="1"/>
      </w:pPr>
      <w:r>
        <w:t>Métricas:</w:t>
        <w:br/>
        <w:t xml:space="preserve">  M‑RES‑BCP‑COVER: % procesos críticos con planes actualizados.</w:t>
        <w:br/>
        <w:t xml:space="preserve">  M‑RES‑TEST‑COVER: % pruebas de continuidad realizadas vs planificadas.</w:t>
        <w:br/>
        <w:t xml:space="preserve">  M‑RES‑RTO‑MEET: % pruebas que cumplen RTO/RPO.  </w:t>
      </w:r>
    </w:p>
    <w:p>
      <w:pPr>
        <w:pStyle w:val="Heading3"/>
        <w:keepNext/>
        <w:keepLines/>
      </w:pPr>
      <w:r>
        <w:t>6.7 Proveedores y terceros (G‑SUP‑*)</w:t>
      </w:r>
    </w:p>
    <w:p>
      <w:pPr>
        <w:pStyle w:val="ListBullet"/>
        <w:keepLines w:val="1"/>
        <w:keepNext w:val="1"/>
        <w:widowControl w:val="1"/>
      </w:pPr>
      <w:r>
        <w:t xml:space="preserve">Goal G‑SUP‑1: “Mantener un nivel de riesgo aceptable asociado a proveedores y terceros críticos.”  </w:t>
      </w:r>
    </w:p>
    <w:p>
      <w:pPr>
        <w:pStyle w:val="ListBullet"/>
        <w:keepLines w:val="1"/>
        <w:widowControl w:val="1"/>
      </w:pPr>
      <w:r>
        <w:t>Métricas:</w:t>
        <w:br/>
        <w:t xml:space="preserve">  M‑SUP‑CRIT‑EVAL: % proveedores críticos evaluados y aprobados.</w:t>
        <w:br/>
        <w:t xml:space="preserve">  M‑SUP‑SEC‑CLAUSE: % proveedores con cláusulas de seguridad adecuadas.</w:t>
        <w:br/>
        <w:t xml:space="preserve">  M‑SUP‑INC: Nº incidentes asociados a terceros.</w:t>
      </w:r>
    </w:p>
    <w:p>
      <w:pPr>
        <w:pStyle w:val="Heading3"/>
        <w:keepNext/>
        <w:keepLines/>
      </w:pPr>
      <w:r>
        <w:t>6.8 Regulación y entorno externo (G‑REG‑*)</w:t>
      </w:r>
    </w:p>
    <w:p>
      <w:pPr>
        <w:pStyle w:val="ListBullet"/>
        <w:keepLines w:val="1"/>
        <w:keepNext w:val="1"/>
        <w:widowControl w:val="1"/>
      </w:pPr>
      <w:r>
        <w:t xml:space="preserve">Goal G‑REG‑1: “Demostrar diligencia razonable y cumplimiento de NIS2, GDPR y requisitos nacionales mediante un set coherente de indicadores.”  </w:t>
      </w:r>
    </w:p>
    <w:p>
      <w:pPr>
        <w:pStyle w:val="ListBullet"/>
        <w:keepLines w:val="1"/>
        <w:widowControl w:val="1"/>
      </w:pPr>
      <w:r>
        <w:t>Métricas:</w:t>
        <w:br/>
        <w:t xml:space="preserve">  M‑REG‑NIS2‑ALIGN: Índice de alineamiento percibido con NIS2.</w:t>
        <w:br/>
        <w:t xml:space="preserve">  M‑REG‑BREACH: Nº brechas de datos y tiempos de notificación.</w:t>
      </w:r>
    </w:p>
    <w:p>
      <w:pPr>
        <w:pStyle w:val="Heading3"/>
        <w:keepNext/>
        <w:keepLines/>
      </w:pPr>
      <w:r>
        <w:t>6.9 Automatización, calidad de datos y gobierno (G‑GOV‑*)</w:t>
      </w:r>
    </w:p>
    <w:p>
      <w:pPr>
        <w:pStyle w:val="ListBullet"/>
        <w:keepLines w:val="1"/>
        <w:keepNext w:val="1"/>
        <w:widowControl w:val="1"/>
      </w:pPr>
      <w:r>
        <w:t xml:space="preserve">Goal G‑GOV‑1: “Asegurar que la medición se apoya en datos de calidad y procesos automatizados donde tenga sentido.”  </w:t>
      </w:r>
    </w:p>
    <w:p>
      <w:pPr>
        <w:pStyle w:val="ListBullet"/>
        <w:keepLines w:val="1"/>
        <w:widowControl w:val="1"/>
      </w:pPr>
      <w:r>
        <w:t>Métricas:</w:t>
        <w:br/>
        <w:t xml:space="preserve">  M‑GOV‑AUTO: % de datos de indicadores obtenidos automáticamente.</w:t>
        <w:br/>
        <w:t xml:space="preserve">  M‑GOV‑DATAQUAL: Índice de calidad percibida de datos.</w:t>
      </w:r>
    </w:p>
    <w:p>
      <w:pPr>
        <w:pStyle w:val="Heading2"/>
        <w:keepNext/>
        <w:keepLines/>
      </w:pPr>
      <w:r>
        <w:rPr>
          <w:color w:val="0066CC"/>
        </w:rPr>
        <w:t>7. Integración operativa GQM + PRAGMATIC</w:t>
      </w:r>
    </w:p>
    <w:p>
      <w:r>
        <w:t>El ciclo recomendado para cada métrica es:</w:t>
      </w:r>
    </w:p>
    <w:p>
      <w:pPr>
        <w:pStyle w:val="ListNumber"/>
        <w:keepLines w:val="1"/>
        <w:keepNext w:val="1"/>
        <w:widowControl w:val="1"/>
      </w:pPr>
      <w:r>
        <w:t xml:space="preserve">Definir el objetivo (Goal). </w:t>
      </w:r>
    </w:p>
    <w:p>
      <w:pPr>
        <w:pStyle w:val="ListNumber"/>
        <w:keepLines w:val="1"/>
        <w:keepNext w:val="1"/>
        <w:widowControl w:val="1"/>
      </w:pPr>
      <w:r>
        <w:t xml:space="preserve">Derivar preguntas y métricas (GQM). </w:t>
      </w:r>
    </w:p>
    <w:p>
      <w:pPr>
        <w:pStyle w:val="ListNumber"/>
        <w:keepLines w:val="1"/>
        <w:keepNext w:val="1"/>
        <w:widowControl w:val="1"/>
      </w:pPr>
      <w:r>
        <w:t xml:space="preserve">Calificar la métrica con PRAGMATIC (1–5 en cada criterio). [web:44][web:52]  </w:t>
      </w:r>
    </w:p>
    <w:p>
      <w:pPr>
        <w:pStyle w:val="ListNumber"/>
        <w:keepLines w:val="1"/>
        <w:keepNext w:val="1"/>
        <w:widowControl w:val="1"/>
      </w:pPr>
      <w:r>
        <w:t xml:space="preserve">Descartar o reformular métricas con baja puntuación global o con defectos graves (por ejemplo, no accionables o no genuinas). </w:t>
      </w:r>
    </w:p>
    <w:p>
      <w:pPr>
        <w:pStyle w:val="ListNumber"/>
        <w:keepLines w:val="1"/>
        <w:widowControl w:val="1"/>
      </w:pPr>
      <w:r>
        <w:t>Incorporarlas al catálogo ISO 27001 con trazabilidad hacia objetivos nacionales y regulatorios.</w:t>
      </w:r>
    </w:p>
    <w:p>
      <w:r>
        <w:t>Este marco se utiliza en los documentos complementarios (matriz PRAGMATIC, plantilla Excel, etc.) para asegurar coherencia y evitar el síndrome del indicador “bonito pero inútil”.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