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de Métricas ISO 27001</w:t>
      </w:r>
    </w:p>
    <w:p>
      <w:r>
        <w:t>Escala por criterio: 1 = muy bajo, 5 = muy alto.</w:t>
      </w:r>
      <w:r/>
      <w:r>
        <w:br/>
        <w:t>La puntuación global puede ser la media simple o ponderada de los nueve criterios. [web:44][web:49][web:52]</w:t>
      </w:r>
    </w:p>
    <w:p>
      <w:pPr>
        <w:pStyle w:val="Heading2"/>
        <w:keepNext/>
        <w:keepLines/>
      </w:pPr>
      <w:r>
        <w:rPr>
          <w:color w:val="0066CC"/>
        </w:rPr>
        <w:t>1. Leyenda de criterios</w:t>
      </w:r>
    </w:p>
    <w:p>
      <w:pPr>
        <w:pStyle w:val="ListBullet"/>
        <w:keepLines w:val="1"/>
        <w:keepNext w:val="1"/>
        <w:widowControl w:val="1"/>
      </w:pPr>
      <w:r>
        <w:t xml:space="preserve">P – Predictivo  </w:t>
      </w:r>
    </w:p>
    <w:p>
      <w:pPr>
        <w:pStyle w:val="ListBullet"/>
        <w:keepLines w:val="1"/>
        <w:keepNext w:val="1"/>
        <w:widowControl w:val="1"/>
      </w:pPr>
      <w:r>
        <w:t xml:space="preserve">R – Relevante  </w:t>
      </w:r>
    </w:p>
    <w:p>
      <w:pPr>
        <w:pStyle w:val="ListBullet"/>
        <w:keepLines w:val="1"/>
        <w:keepNext w:val="1"/>
        <w:widowControl w:val="1"/>
      </w:pPr>
      <w:r>
        <w:t xml:space="preserve">A – Accionable  </w:t>
      </w:r>
    </w:p>
    <w:p>
      <w:pPr>
        <w:pStyle w:val="ListBullet"/>
        <w:keepLines w:val="1"/>
        <w:keepNext w:val="1"/>
        <w:widowControl w:val="1"/>
      </w:pPr>
      <w:r>
        <w:t xml:space="preserve">G – Genuino  </w:t>
      </w:r>
    </w:p>
    <w:p>
      <w:pPr>
        <w:pStyle w:val="ListBullet"/>
        <w:keepLines w:val="1"/>
        <w:keepNext w:val="1"/>
        <w:widowControl w:val="1"/>
      </w:pPr>
      <w:r>
        <w:t xml:space="preserve">M – Significativo  </w:t>
      </w:r>
    </w:p>
    <w:p>
      <w:pPr>
        <w:pStyle w:val="ListBullet"/>
        <w:keepLines w:val="1"/>
        <w:keepNext w:val="1"/>
        <w:widowControl w:val="1"/>
      </w:pPr>
      <w:r>
        <w:t xml:space="preserve">A2 – Preciso (Accurate)  </w:t>
      </w:r>
    </w:p>
    <w:p>
      <w:pPr>
        <w:pStyle w:val="ListBullet"/>
        <w:keepLines w:val="1"/>
        <w:keepNext w:val="1"/>
        <w:widowControl w:val="1"/>
      </w:pPr>
      <w:r>
        <w:t xml:space="preserve">T – Oportuno (Timely)  </w:t>
      </w:r>
    </w:p>
    <w:p>
      <w:pPr>
        <w:pStyle w:val="ListBullet"/>
        <w:keepLines w:val="1"/>
        <w:keepNext w:val="1"/>
        <w:widowControl w:val="1"/>
      </w:pPr>
      <w:r>
        <w:t xml:space="preserve">I – Independiente  </w:t>
      </w:r>
    </w:p>
    <w:p>
      <w:pPr>
        <w:pStyle w:val="ListBullet"/>
        <w:keepLines w:val="1"/>
        <w:widowControl w:val="1"/>
      </w:pPr>
      <w:r>
        <w:t>C – Rentable (Cheap)</w:t>
      </w:r>
    </w:p>
    <w:p>
      <w:pPr>
        <w:pStyle w:val="Heading2"/>
        <w:keepNext/>
        <w:keepLines/>
      </w:pPr>
      <w:r>
        <w:rPr>
          <w:color w:val="0066CC"/>
        </w:rPr>
        <w:t>2. Tabla de métricas principales</w:t>
      </w:r>
    </w:p>
    <w:p>
      <w:pPr>
        <w:pStyle w:val="Heading3"/>
        <w:keepNext/>
        <w:keepLines/>
      </w:pPr>
      <w:r>
        <w:t>2.1 Madurez y desempeño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M‑MAD‑SCORE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Puntuación global de madurez SGSI (0–100)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 indicador de síntesis; predictivo moderado, requiere base de evaluación sólida.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M‑MAD‑DELTA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Variación anual de la madurez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Útil para ver tendencia; más accionable que el valor estático.</w:t>
            </w:r>
          </w:p>
        </w:tc>
      </w:tr>
    </w:tbl>
    <w:p/>
    <w:p>
      <w:pPr>
        <w:pStyle w:val="Heading3"/>
        <w:keepNext/>
        <w:keepLines/>
      </w:pPr>
      <w:r>
        <w:t>2.2 Gestión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M‑RISK‑ASSETS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activos críticos con análisis de riesgos vigente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 predictor de sorpresas desagradables; relativamente barato.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M‑RISK‑TREATED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riesgos tratados dentro del plazo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accionable: su variación desencadena acciones de remediación.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M‑RISK‑OVERAPP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riesgos residuales sobre el apetito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Métrica clave de alineamiento riesgo‑negocio; fuerte impacto en decisiones.</w:t>
            </w:r>
          </w:p>
        </w:tc>
      </w:tr>
    </w:tbl>
    <w:p/>
    <w:p>
      <w:pPr>
        <w:pStyle w:val="Heading3"/>
        <w:keepNext/>
        <w:keepLines/>
      </w:pPr>
      <w:r>
        <w:t>2.3 Controles técnicos, vulnerabilidades, exposición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M‑TECH‑CRIT‑MTTR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Tiempo medio de corrección de vulnerabilidades críticas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Altamente predictivo del riesgo de explotación; accionable.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M‑TECH‑SUPPORTED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sistemas en versiones soportadas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estructural de “higiene”; más lento de cambiar pero relevante.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M‑TECH‑EXPOSED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activos expuestos a internet con vulnerabilidades críticas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Uno de los indicadores más críticos; gran valor predictivo de incidentes graves.</w:t>
            </w:r>
          </w:p>
        </w:tc>
      </w:tr>
    </w:tbl>
    <w:p/>
    <w:p>
      <w:pPr>
        <w:pStyle w:val="Heading3"/>
        <w:keepNext/>
        <w:keepLines/>
      </w:pPr>
      <w:r>
        <w:t>2.4 Incidentes, SOC, respuesta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M‑INC‑MTTD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Tiempo medio de detección de incidentes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predictivo del impacto: cuanto antes se ve, menos duele.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M‑INC‑MTTR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Tiempo medio de respuesta/resolución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Acción directa sobre capacidad de respuesta; clave en resiliencia.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M‑INC‑SLA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incidentes resueltos dentro de SLA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de desempeño del SOC / equipos de respuesta.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M‑INC‑SEV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Severidad media ponderada de incidentes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Captura la “gravedad” agregada; requiere clasificación consistente.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M‑INC‑RECUR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Tasa de reincidencia de incidentes por causa raíz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Excelente para saber si aprendemos o repetimos los mismos errores.</w:t>
            </w:r>
          </w:p>
        </w:tc>
      </w:tr>
    </w:tbl>
    <w:p/>
    <w:p>
      <w:pPr>
        <w:pStyle w:val="Heading3"/>
        <w:keepNext/>
        <w:keepLines/>
      </w:pPr>
      <w:r>
        <w:t>2.5 Concienciación y comportamiento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M‑AWARE‑COVER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empleados con formación de seguridad completada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básica; valor limitado si no se mide eficacia.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M‑AWARE‑PHISH‑CLICK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clic en simulaciones de phishing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predictivo de riesgo por ingeniería social; altamente accionable.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M‑AWARE‑PHISH‑REPORT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Nº de reportes legítimos de phishing por 100 empleados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Mide cultura de reporte; algo más caro pero de alto valor cualitativo.</w:t>
            </w:r>
          </w:p>
        </w:tc>
      </w:tr>
    </w:tbl>
    <w:p/>
    <w:p>
      <w:pPr>
        <w:pStyle w:val="Heading3"/>
        <w:keepNext/>
        <w:keepLines/>
      </w:pPr>
      <w:r>
        <w:t>2.6 Continuidad y resiliencia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M‑RES‑BCP‑COVER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procesos críticos con BCP/DRP actualizados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estructural de preparación.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M‑RES‑TEST‑COVER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pruebas de continuidad realizadas vs planificadas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 disciplina de prueba; accionable cuando baja.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M‑RES‑RTO‑MEET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pruebas que cumplen RTO/RPO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Métrica crítica de resiliencia real, no solo documental.</w:t>
            </w:r>
          </w:p>
        </w:tc>
      </w:tr>
    </w:tbl>
    <w:p/>
    <w:p>
      <w:pPr>
        <w:pStyle w:val="Heading3"/>
        <w:keepNext/>
        <w:keepLines/>
      </w:pPr>
      <w:r>
        <w:t>2.7 Proveedores y terceros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M‑SUP‑CRIT‑EVAL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proveedores críticos evaluados y aprobados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 indicador de control de la cadena de suministro.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M‑SUP‑SEC‑CLAUSE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proveedores con cláusulas de seguridad adecuadas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Más jurídico, menos predictivo, pero necesario.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M‑SUP‑INC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Nº incidentes atribuibles a terceros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Métrica de resultado; combinada con las anteriores da visión completa.</w:t>
            </w:r>
          </w:p>
        </w:tc>
      </w:tr>
    </w:tbl>
    <w:p/>
    <w:p>
      <w:pPr>
        <w:pStyle w:val="Heading3"/>
        <w:keepNext/>
        <w:keepLines/>
      </w:pPr>
      <w:r>
        <w:t>2.8 Regulación y entorno externo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M‑REG‑NIS2‑ALIGN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Índice de alineamiento percibido con NIS2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compuesta, algo subjetiva; requiere criterios claros.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M‑REG‑BREACH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Nº de brechas de datos y tiempos de notificación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Conecta directamente con obligaciones GDPR y supervisores.</w:t>
            </w:r>
          </w:p>
        </w:tc>
      </w:tr>
    </w:tbl>
    <w:p/>
    <w:p>
      <w:pPr>
        <w:pStyle w:val="Heading3"/>
        <w:keepNext/>
        <w:keepLines/>
      </w:pPr>
      <w:r>
        <w:t>2.9 Automatización, calidad de datos y gobierno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M‑GOV‑AUTO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datos de indicadores obtenidos automáticamente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Predice capacidad de escalar la medición y reducir errores manuales.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M‑GOV‑DATAQUAL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Índice de calidad percibida de los datos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Algo subjetivo, pero útil como alerta temprana de problemas de fiabilidad.</w:t>
            </w:r>
          </w:p>
        </w:tc>
      </w:tr>
    </w:tbl>
    <w:p/>
    <w:p>
      <w:r>
        <w:rPr>
          <w:i/>
        </w:rPr>
        <w:t>(Puedes adaptar las puntuaciones PRAGMATIC a tu contexto; aquí se proponen valores “por defecto” razonables basados en la literatura de métricas de seguridad y en la experiencia práctica.)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