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Excel para cálculo de IGM y ROI integrando GQM + PRAGMATIC</w:t>
      </w:r>
    </w:p>
    <w:p>
      <w:r>
        <w:t>Esta plantilla extiende la versión anterior de cálculo de Índice Global de Madurez (IGM) y ROI con:</w:t>
      </w:r>
    </w:p>
    <w:p>
      <w:pPr>
        <w:pStyle w:val="ListBullet"/>
        <w:keepLines w:val="1"/>
        <w:keepNext w:val="1"/>
        <w:widowControl w:val="1"/>
      </w:pPr>
      <w:r>
        <w:t xml:space="preserve">Un vínculo explícito a los objetivos GQM.  </w:t>
      </w:r>
    </w:p>
    <w:p>
      <w:pPr>
        <w:pStyle w:val="ListBullet"/>
        <w:keepLines w:val="1"/>
        <w:widowControl w:val="1"/>
      </w:pPr>
      <w:r>
        <w:t>Una tabla de puntuaciones PRAGMATIC por métrica. [web:44][web:52]</w:t>
      </w:r>
    </w:p>
    <w:p>
      <w:pPr>
        <w:pStyle w:val="Heading2"/>
        <w:keepNext/>
        <w:keepLines/>
      </w:pPr>
      <w:r>
        <w:rPr>
          <w:color w:val="0066CC"/>
        </w:rPr>
        <w:t>1. Hojas recomendadas</w:t>
      </w:r>
    </w:p>
    <w:p>
      <w:pPr>
        <w:pStyle w:val="ListNumber"/>
        <w:keepLines w:val="1"/>
        <w:keepNext w:val="1"/>
        <w:widowControl w:val="1"/>
      </w:pPr>
      <w:r>
        <w:t xml:space="preserve">RESPUESTAS_ENCUESTA – Captura codificada de respuestas (P1_1, P2_1, etc.).  </w:t>
      </w:r>
    </w:p>
    <w:p>
      <w:pPr>
        <w:pStyle w:val="ListNumber"/>
        <w:keepLines w:val="1"/>
        <w:keepNext w:val="1"/>
        <w:widowControl w:val="1"/>
      </w:pPr>
      <w:r>
        <w:t xml:space="preserve">CATALOGO_METRICAS – Lista de métricas (M‑*) con su definición, fórmula y objetivo GQM asociado.  </w:t>
      </w:r>
    </w:p>
    <w:p>
      <w:pPr>
        <w:pStyle w:val="ListNumber"/>
        <w:keepLines w:val="1"/>
        <w:keepNext w:val="1"/>
        <w:widowControl w:val="1"/>
      </w:pPr>
      <w:r>
        <w:t xml:space="preserve">PRAGMATIC – Puntuaciones PRAGMATIC (P, R, A, G, M, A2, T, I, C) para cada métrica.  </w:t>
      </w:r>
    </w:p>
    <w:p>
      <w:pPr>
        <w:pStyle w:val="ListNumber"/>
        <w:keepLines w:val="1"/>
        <w:keepNext w:val="1"/>
        <w:widowControl w:val="1"/>
      </w:pPr>
      <w:r>
        <w:t xml:space="preserve">PONDERACIONES – Pesos por bloque GQM y por métrica en el cálculo del IGM.  </w:t>
      </w:r>
    </w:p>
    <w:p>
      <w:pPr>
        <w:pStyle w:val="ListNumber"/>
        <w:keepLines w:val="1"/>
        <w:keepNext w:val="1"/>
        <w:widowControl w:val="1"/>
      </w:pPr>
      <w:r>
        <w:t xml:space="preserve">CALCULO_SUBINDICES – Cálculo de subíndices por objetivo GQM/familia.  </w:t>
      </w:r>
    </w:p>
    <w:p>
      <w:pPr>
        <w:pStyle w:val="ListNumber"/>
        <w:keepLines w:val="1"/>
        <w:keepNext w:val="1"/>
        <w:widowControl w:val="1"/>
      </w:pPr>
      <w:r>
        <w:t xml:space="preserve">CALCULO_IGM – Cálculo del IGM global.  </w:t>
      </w:r>
    </w:p>
    <w:p>
      <w:pPr>
        <w:pStyle w:val="ListNumber"/>
        <w:keepLines w:val="1"/>
        <w:keepNext w:val="1"/>
        <w:widowControl w:val="1"/>
      </w:pPr>
      <w:r>
        <w:t xml:space="preserve">DATOS_ECONOMICOS – Costes de seguridad, pérdidas, etc.  </w:t>
      </w:r>
    </w:p>
    <w:p>
      <w:pPr>
        <w:pStyle w:val="ListNumber"/>
        <w:keepLines w:val="1"/>
        <w:keepNext w:val="1"/>
        <w:widowControl w:val="1"/>
      </w:pPr>
      <w:r>
        <w:t xml:space="preserve">CALCULO_ROI – Cálculo de ROI y métricas económicas asociadas.  </w:t>
      </w:r>
    </w:p>
    <w:p>
      <w:pPr>
        <w:pStyle w:val="ListNumber"/>
        <w:keepLines w:val="1"/>
        <w:widowControl w:val="1"/>
      </w:pPr>
      <w:r>
        <w:t>CUADRO_MANDO – Resumen visual.</w:t>
      </w:r>
    </w:p>
    <w:p>
      <w:pPr>
        <w:pStyle w:val="Heading2"/>
        <w:keepNext/>
        <w:keepLines/>
      </w:pPr>
      <w:r>
        <w:rPr>
          <w:color w:val="0066CC"/>
        </w:rPr>
        <w:t>2. Hoja CATALOGO_METRICAS</w:t>
      </w:r>
    </w:p>
    <w:p>
      <w:r>
        <w:t>Estructura sugerida: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 w:val="1"/>
        </w:trPr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ID_Metrica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Nombre corto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Objetivo_GQM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Fórmula (texto)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Unidad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Fuente de datos principal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M‑MAD‑SCORE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Madurez SGSI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Puntuación global de madurez SGSI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G‑MAD‑1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Resultado evaluación madurez / max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%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Auditoría SGSI / GRC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M‑RISK‑TREATED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Riesgos tratados en plazo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% riesgos tratados dentro del plazo definido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G‑RISK‑1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(Riesgos en plazo / Total tratados)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%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Herramienta riesgos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M‑TECH‑CRIT‑MTTR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MTTR vulnerabilidades crit.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Tiempo medio de corrección vulns. críticas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G‑TECH‑1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Media(tiempo cierre vulns. críticas)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horas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Gestor de vulnerabilidades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</w:pPr>
            <w:r>
              <w:t>...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...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...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...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...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...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...</w:t>
            </w:r>
          </w:p>
        </w:tc>
      </w:tr>
    </w:tbl>
    <w:p/>
    <w:p>
      <w:r>
        <w:t>Cada métrica se vincula a un objetivo GQM concreto.</w:t>
      </w:r>
    </w:p>
    <w:p>
      <w:pPr>
        <w:pStyle w:val="Heading2"/>
        <w:keepNext/>
        <w:keepLines/>
      </w:pPr>
      <w:r>
        <w:rPr>
          <w:color w:val="0066CC"/>
        </w:rPr>
        <w:t>3. Hoja PRAGMATIC</w:t>
      </w:r>
    </w:p>
    <w:p>
      <w:r>
        <w:t>Estructura: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rPr>
          <w:cantSplit w:val="1"/>
        </w:trPr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ID_Metrica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A2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PRAGMATIC_SCORE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M‑MAD‑SCORE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=PROMEDIO(B2:J2)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M‑RISK‑TREATED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...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M‑TECH‑CRIT‑MTTR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...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</w:pPr>
            <w:r>
              <w:t>...</w:t>
            </w:r>
          </w:p>
        </w:tc>
        <w:tc>
          <w:tcPr>
            <w:tcW w:type="dxa" w:w="851"/>
          </w:tcPr>
          <w:p>
            <w:pPr>
              <w:keepLines w:val="1"/>
            </w:pPr>
            <w:r/>
          </w:p>
        </w:tc>
        <w:tc>
          <w:tcPr>
            <w:tcW w:type="dxa" w:w="851"/>
          </w:tcPr>
          <w:p>
            <w:pPr>
              <w:keepLines w:val="1"/>
            </w:pPr>
            <w:r/>
          </w:p>
        </w:tc>
        <w:tc>
          <w:tcPr>
            <w:tcW w:type="dxa" w:w="851"/>
          </w:tcPr>
          <w:p>
            <w:pPr>
              <w:keepLines w:val="1"/>
            </w:pPr>
            <w:r/>
          </w:p>
        </w:tc>
        <w:tc>
          <w:tcPr>
            <w:tcW w:type="dxa" w:w="851"/>
          </w:tcPr>
          <w:p>
            <w:pPr>
              <w:keepLines w:val="1"/>
            </w:pPr>
            <w:r/>
          </w:p>
        </w:tc>
        <w:tc>
          <w:tcPr>
            <w:tcW w:type="dxa" w:w="851"/>
          </w:tcPr>
          <w:p>
            <w:pPr>
              <w:keepLines w:val="1"/>
            </w:pPr>
            <w:r/>
          </w:p>
        </w:tc>
        <w:tc>
          <w:tcPr>
            <w:tcW w:type="dxa" w:w="851"/>
          </w:tcPr>
          <w:p>
            <w:pPr>
              <w:keepLines w:val="1"/>
            </w:pPr>
            <w:r/>
          </w:p>
        </w:tc>
        <w:tc>
          <w:tcPr>
            <w:tcW w:type="dxa" w:w="851"/>
          </w:tcPr>
          <w:p>
            <w:pPr>
              <w:keepLines w:val="1"/>
            </w:pPr>
            <w:r/>
          </w:p>
        </w:tc>
        <w:tc>
          <w:tcPr>
            <w:tcW w:type="dxa" w:w="851"/>
          </w:tcPr>
          <w:p>
            <w:pPr>
              <w:keepLines w:val="1"/>
            </w:pPr>
            <w:r/>
          </w:p>
        </w:tc>
        <w:tc>
          <w:tcPr>
            <w:tcW w:type="dxa" w:w="851"/>
          </w:tcPr>
          <w:p>
            <w:pPr>
              <w:keepLines w:val="1"/>
            </w:pPr>
            <w:r/>
          </w:p>
        </w:tc>
        <w:tc>
          <w:tcPr>
            <w:tcW w:type="dxa" w:w="851"/>
          </w:tcPr>
          <w:p>
            <w:pPr>
              <w:keepLines w:val="1"/>
            </w:pPr>
            <w:r/>
          </w:p>
        </w:tc>
      </w:tr>
    </w:tbl>
    <w:p/>
    <w:p>
      <w:r>
        <w:t>Opciones:</w:t>
      </w:r>
    </w:p>
    <w:p>
      <w:pPr>
        <w:pStyle w:val="ListBullet"/>
        <w:keepLines w:val="1"/>
        <w:keepNext w:val="1"/>
        <w:widowControl w:val="1"/>
      </w:pPr>
      <w:r>
        <w:t xml:space="preserve">Usar la media simple de los nueve criterios.  </w:t>
      </w:r>
    </w:p>
    <w:p>
      <w:pPr>
        <w:pStyle w:val="ListBullet"/>
        <w:keepLines w:val="1"/>
        <w:widowControl w:val="1"/>
      </w:pPr>
      <w:r>
        <w:t>Excluir C (Cheap) o darle menor peso si se prefiere priorizar calidad sobre coste.</w:t>
      </w:r>
    </w:p>
    <w:p>
      <w:pPr>
        <w:pStyle w:val="Heading2"/>
        <w:keepNext/>
        <w:keepLines/>
      </w:pPr>
      <w:r>
        <w:rPr>
          <w:color w:val="0066CC"/>
        </w:rPr>
        <w:t>4. Hoja PONDERACIONES</w:t>
      </w:r>
    </w:p>
    <w:p>
      <w:r>
        <w:t>Añadir, además de los pesos por bloque, un factor basado en PRAGMATIC: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ID_Metrica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Objetivo_GQM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Peso_GQM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PRAGMATIC_SCORE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Peso_final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M‑RISK‑TREATED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G‑RISK‑1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0,25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4,3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=0,25*(4,3/5)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M‑TECH‑CRIT‑MTTR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G‑TECH‑1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0,30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4,5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=0,30*(4,5/5)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...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...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...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...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...</w:t>
            </w:r>
          </w:p>
        </w:tc>
      </w:tr>
    </w:tbl>
    <w:p/>
    <w:p>
      <w:r>
        <w:t>La idea es que las métricas con mejor puntuación PRAGMATIC pesen más en el IGM, incentivando el uso de indicadores de alta calidad.</w:t>
      </w:r>
    </w:p>
    <w:p>
      <w:pPr>
        <w:pStyle w:val="Heading2"/>
        <w:keepNext/>
        <w:keepLines/>
      </w:pPr>
      <w:r>
        <w:rPr>
          <w:color w:val="0066CC"/>
        </w:rPr>
        <w:t>5. Hoja CALCULO_SUBINDICES</w:t>
      </w:r>
    </w:p>
    <w:p>
      <w:r>
        <w:t>Para cada organización:</w:t>
      </w:r>
    </w:p>
    <w:p>
      <w:pPr>
        <w:pStyle w:val="ListBullet"/>
        <w:keepLines w:val="1"/>
        <w:keepNext w:val="1"/>
        <w:widowControl w:val="1"/>
      </w:pPr>
      <w:r>
        <w:t xml:space="preserve">Calcular los valores de cada métrica (por ejemplo, a partir de las respuestas de la encuesta o datos internos).  </w:t>
      </w:r>
    </w:p>
    <w:p>
      <w:pPr>
        <w:pStyle w:val="ListBullet"/>
        <w:keepLines w:val="1"/>
        <w:keepNext w:val="1"/>
        <w:widowControl w:val="1"/>
      </w:pPr>
      <w:r>
        <w:t xml:space="preserve">Normalizar, si procede, los valores a escala 0–1.  </w:t>
      </w:r>
    </w:p>
    <w:p>
      <w:pPr>
        <w:pStyle w:val="ListBullet"/>
        <w:keepLines w:val="1"/>
        <w:widowControl w:val="1"/>
      </w:pPr>
      <w:r>
        <w:t>Agrupar por objetivo GQM (por ejemplo, G‑RISK‑1) usando los Peso_final de cada métrica.</w:t>
      </w:r>
    </w:p>
    <w:p>
      <w:r>
        <w:t>Ejemplo de fórmula de subíndice:</w:t>
      </w:r>
    </w:p>
    <w:p>
      <w:r>
        <w:rPr>
          <w:rFonts w:ascii="Courier New" w:hAnsi="Courier New"/>
          <w:sz w:val="18"/>
        </w:rPr>
        <w:t>SUBINDICE_G_RISK_1 = SUMAPRODUCTO(Valores_normalizados_métricas_riesgo; Pesos_finales_riesgo) / SUMA(Pesos_finales_riesgo)</w:t>
      </w:r>
    </w:p>
    <w:p>
      <w:pPr>
        <w:pStyle w:val="Heading2"/>
        <w:keepNext/>
        <w:keepLines/>
      </w:pPr>
      <w:r>
        <w:rPr>
          <w:color w:val="0066CC"/>
        </w:rPr>
        <w:t>6. Hoja CALCULO_IGM</w:t>
      </w:r>
    </w:p>
    <w:p>
      <w:r>
        <w:t>Definir pesos por objetivo GQM (por ejemplo, más peso a G‑RISK‑1, G‑TECH‑1 y G‑INC‑1) y calcular el IGM:</w:t>
      </w:r>
    </w:p>
    <w:p>
      <w:r>
        <w:rPr>
          <w:rFonts w:ascii="Courier New" w:hAnsi="Courier New"/>
          <w:sz w:val="18"/>
        </w:rPr>
        <w:t>IGM = SUMAPRODUCTO(Subíndices_GQM; Pesos_objetivos)</w:t>
      </w:r>
    </w:p>
    <w:p>
      <w:r>
        <w:t>Transformar a porcentaje o a escala 1–5 según se prefiera para reporte.</w:t>
      </w:r>
    </w:p>
    <w:p>
      <w:pPr>
        <w:pStyle w:val="Heading2"/>
        <w:keepNext/>
        <w:keepLines/>
      </w:pPr>
      <w:r>
        <w:rPr>
          <w:color w:val="0066CC"/>
        </w:rPr>
        <w:t>7. Hoja DATOS_ECONOMICOS y CALCULO_ROI</w:t>
      </w:r>
    </w:p>
    <w:p>
      <w:r>
        <w:t>Se mantiene el esquema ya propuesto:</w:t>
      </w:r>
    </w:p>
    <w:p>
      <w:pPr>
        <w:pStyle w:val="ListBullet"/>
        <w:keepLines w:val="1"/>
        <w:keepNext w:val="1"/>
        <w:widowControl w:val="1"/>
      </w:pPr>
      <w:r>
        <w:t xml:space="preserve">Coste de seguridad anual.  </w:t>
      </w:r>
    </w:p>
    <w:p>
      <w:pPr>
        <w:pStyle w:val="ListBullet"/>
        <w:keepLines w:val="1"/>
        <w:keepNext w:val="1"/>
        <w:widowControl w:val="1"/>
      </w:pPr>
      <w:r>
        <w:t xml:space="preserve">Pérdidas por incidentes.  </w:t>
      </w:r>
    </w:p>
    <w:p>
      <w:pPr>
        <w:pStyle w:val="ListBullet"/>
        <w:keepLines w:val="1"/>
        <w:keepNext w:val="1"/>
        <w:widowControl w:val="1"/>
      </w:pPr>
      <w:r>
        <w:t xml:space="preserve">Estimación de pérdidas evitadas.  </w:t>
      </w:r>
    </w:p>
    <w:p>
      <w:pPr>
        <w:pStyle w:val="ListBullet"/>
        <w:keepLines w:val="1"/>
        <w:widowControl w:val="1"/>
      </w:pPr>
      <w:r>
        <w:t>Cálculo de ROI: (Pérdidas evitadas - Coste seguridad) / Coste seguridad.</w:t>
      </w:r>
    </w:p>
    <w:p>
      <w:r>
        <w:t>Es posible conectar determinadas métricas GQM con el modelo económico (por ejemplo, MTTR reducido → menos horas de indisponibilidad → menos pérdidas), pero eso ya forma parte de un análisis coste‑beneficio más detallado.</w:t>
      </w:r>
    </w:p>
    <w:p>
      <w:pPr>
        <w:pStyle w:val="Heading2"/>
        <w:keepNext/>
        <w:keepLines/>
      </w:pPr>
      <w:r>
        <w:rPr>
          <w:color w:val="0066CC"/>
        </w:rPr>
        <w:t>8. Hoja CUADRO_MANDO</w:t>
      </w:r>
    </w:p>
    <w:p>
      <w:r>
        <w:t>Debe mostrar:</w:t>
      </w:r>
    </w:p>
    <w:p>
      <w:pPr>
        <w:pStyle w:val="ListBullet"/>
        <w:keepLines w:val="1"/>
        <w:keepNext w:val="1"/>
        <w:widowControl w:val="1"/>
      </w:pPr>
      <w:r>
        <w:t xml:space="preserve">IGM y subíndices por objetivo GQM.  </w:t>
      </w:r>
    </w:p>
    <w:p>
      <w:pPr>
        <w:pStyle w:val="ListBullet"/>
        <w:keepLines w:val="1"/>
        <w:keepNext w:val="1"/>
        <w:widowControl w:val="1"/>
      </w:pPr>
      <w:r>
        <w:t xml:space="preserve">Perfil PRAGMATIC medio de las métricas utilizadas.  </w:t>
      </w:r>
    </w:p>
    <w:p>
      <w:pPr>
        <w:pStyle w:val="ListBullet"/>
        <w:keepLines w:val="1"/>
        <w:keepNext w:val="1"/>
        <w:widowControl w:val="1"/>
      </w:pPr>
      <w:r>
        <w:t xml:space="preserve">Relación entre IGM y indicadores económicos.  </w:t>
      </w:r>
    </w:p>
    <w:p>
      <w:pPr>
        <w:pStyle w:val="ListBullet"/>
        <w:keepLines w:val="1"/>
        <w:widowControl w:val="1"/>
      </w:pPr>
      <w:r>
        <w:t>Segmentaciones por sector, tamaño, tipo de entidad, etc.</w:t>
      </w:r>
    </w:p>
    <w:p>
      <w:r>
        <w:t>La idea es que la dirección pueda ver, de un vistazo, tanto el nivel de madurez como la “salud” del sistema de métricas que lo soporta.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