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Indicadores ISO 27001 con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 xml:space="preserve">Título: Estado de los indicadores de ciberseguridad (ISO 27001, GQM + PRAGMATIC) 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y análisis para [organización / sector / territorio]  </w:t>
      </w:r>
    </w:p>
    <w:p>
      <w:pPr>
        <w:pStyle w:val="ListBullet"/>
        <w:keepLines w:val="1"/>
        <w:widowControl w:val="1"/>
      </w:pPr>
      <w:r>
        <w:t>Datos: fecha, logos, responsables.</w:t>
      </w:r>
    </w:p>
    <w:p>
      <w:pPr>
        <w:pStyle w:val="Heading2"/>
        <w:keepNext/>
        <w:keepLines/>
      </w:pPr>
      <w:r>
        <w:rPr>
          <w:color w:val="0066CC"/>
        </w:rPr>
        <w:t>Diapositiva 2 – Por qué este ejercicio</w:t>
      </w:r>
    </w:p>
    <w:p>
      <w:pPr>
        <w:pStyle w:val="ListBullet"/>
        <w:keepLines w:val="1"/>
        <w:keepNext w:val="1"/>
        <w:widowControl w:val="1"/>
      </w:pPr>
      <w:r>
        <w:t xml:space="preserve">Cambio de enfoque: de “tener indicadores” a “tener indicadores que respondan a objetivos claros y sean útiles”.  </w:t>
      </w:r>
    </w:p>
    <w:p>
      <w:pPr>
        <w:pStyle w:val="ListBullet"/>
        <w:keepLines w:val="1"/>
        <w:keepNext w:val="1"/>
        <w:widowControl w:val="1"/>
      </w:pPr>
      <w:r>
        <w:t xml:space="preserve">Alineamiento con ISO 27001, ISO 27004 y NIS2.  </w:t>
      </w:r>
    </w:p>
    <w:p>
      <w:pPr>
        <w:pStyle w:val="ListBullet"/>
        <w:keepLines w:val="1"/>
        <w:widowControl w:val="1"/>
      </w:pPr>
      <w:r>
        <w:t>Mejora de la trazabilidad entre objetivos nacionales, objetivos de negocio y datos técnicos.</w:t>
      </w:r>
    </w:p>
    <w:p>
      <w:pPr>
        <w:pStyle w:val="Heading2"/>
        <w:keepNext/>
        <w:keepLines/>
      </w:pPr>
      <w:r>
        <w:rPr>
          <w:color w:val="0066CC"/>
        </w:rPr>
        <w:t>Diapositiva 3 – Metodología en 2 palabras: GQM + PRAGMATIC</w:t>
      </w:r>
    </w:p>
    <w:p>
      <w:pPr>
        <w:pStyle w:val="ListBullet"/>
        <w:keepLines w:val="1"/>
        <w:keepNext w:val="1"/>
        <w:widowControl w:val="1"/>
      </w:pPr>
      <w:r>
        <w:t xml:space="preserve">GQM:  </w:t>
      </w:r>
    </w:p>
    <w:p>
      <w:pPr>
        <w:pStyle w:val="ListBullet"/>
        <w:keepLines w:val="1"/>
        <w:keepNext w:val="1"/>
        <w:widowControl w:val="1"/>
      </w:pPr>
      <w:r>
        <w:t xml:space="preserve">Objetivos → Preguntas → Métricas.  </w:t>
      </w:r>
    </w:p>
    <w:p>
      <w:pPr>
        <w:pStyle w:val="ListBullet"/>
        <w:keepLines w:val="1"/>
        <w:keepNext w:val="1"/>
        <w:widowControl w:val="1"/>
      </w:pPr>
      <w:r>
        <w:t>Trazabilidad descendente. [web:40][web:43][web:51]</w:t>
      </w:r>
    </w:p>
    <w:p>
      <w:pPr>
        <w:pStyle w:val="ListBullet"/>
        <w:keepLines w:val="1"/>
        <w:keepNext w:val="1"/>
        <w:widowControl w:val="1"/>
      </w:pPr>
      <w:r>
        <w:t xml:space="preserve">PRAGMATIC:  </w:t>
      </w:r>
    </w:p>
    <w:p>
      <w:pPr>
        <w:pStyle w:val="ListBullet"/>
        <w:keepLines w:val="1"/>
        <w:keepNext w:val="1"/>
        <w:widowControl w:val="1"/>
      </w:pPr>
      <w:r>
        <w:t xml:space="preserve">Predictive, Relevant, Actionable, Genuine, Meaningful, Accurate, Timely, Independent, Cheap. [web:44][web:52]  </w:t>
      </w:r>
    </w:p>
    <w:p>
      <w:pPr>
        <w:pStyle w:val="ListBullet"/>
        <w:keepLines w:val="1"/>
        <w:widowControl w:val="1"/>
      </w:pPr>
      <w:r>
        <w:t>Filtro de calidad para cada métrica.</w:t>
      </w:r>
    </w:p>
    <w:p>
      <w:pPr>
        <w:pStyle w:val="Heading2"/>
        <w:keepNext/>
        <w:keepLines/>
      </w:pPr>
      <w:r>
        <w:rPr>
          <w:color w:val="0066CC"/>
        </w:rPr>
        <w:t>Diapositiva 4 – Perfil de la muestra</w:t>
      </w:r>
    </w:p>
    <w:p>
      <w:pPr>
        <w:pStyle w:val="ListBullet"/>
        <w:keepLines w:val="1"/>
        <w:keepNext w:val="1"/>
        <w:widowControl w:val="1"/>
      </w:pPr>
      <w:r>
        <w:t xml:space="preserve">Nº de organizaciones, sectores, tamaños.  </w:t>
      </w:r>
    </w:p>
    <w:p>
      <w:pPr>
        <w:pStyle w:val="ListBullet"/>
        <w:keepLines w:val="1"/>
        <w:keepNext w:val="1"/>
        <w:widowControl w:val="1"/>
      </w:pPr>
      <w:r>
        <w:t xml:space="preserve">Estado de certificación ISO 27001.  </w:t>
      </w:r>
    </w:p>
    <w:p>
      <w:pPr>
        <w:pStyle w:val="ListBullet"/>
        <w:keepLines w:val="1"/>
        <w:widowControl w:val="1"/>
      </w:pPr>
      <w:r>
        <w:t>Breve comentario sobre representatividad.</w:t>
      </w:r>
    </w:p>
    <w:p>
      <w:pPr>
        <w:pStyle w:val="Heading2"/>
        <w:keepNext/>
        <w:keepLines/>
      </w:pPr>
      <w:r>
        <w:rPr>
          <w:color w:val="0066CC"/>
        </w:rPr>
        <w:t>Diapositiva 5 – IGM (Índice Global de Madurez)</w:t>
      </w:r>
    </w:p>
    <w:p>
      <w:pPr>
        <w:pStyle w:val="ListBullet"/>
        <w:keepLines w:val="1"/>
        <w:keepNext w:val="1"/>
        <w:widowControl w:val="1"/>
      </w:pPr>
      <w:r>
        <w:t xml:space="preserve">Gráfico con IGM medio, mínimo, máximo, cuartiles.  </w:t>
      </w:r>
    </w:p>
    <w:p>
      <w:pPr>
        <w:pStyle w:val="ListBullet"/>
        <w:keepLines w:val="1"/>
        <w:keepNext w:val="1"/>
        <w:widowControl w:val="1"/>
      </w:pPr>
      <w:r>
        <w:t xml:space="preserve">Clasificación por niveles (1–5).  </w:t>
      </w:r>
    </w:p>
    <w:p>
      <w:pPr>
        <w:pStyle w:val="ListBullet"/>
        <w:keepLines w:val="1"/>
        <w:widowControl w:val="1"/>
      </w:pPr>
      <w:r>
        <w:t>Mensaje: en qué nivel se sitúa el sistema de indicadores.</w:t>
      </w:r>
    </w:p>
    <w:p>
      <w:pPr>
        <w:pStyle w:val="Heading2"/>
        <w:keepNext/>
        <w:keepLines/>
      </w:pPr>
      <w:r>
        <w:rPr>
          <w:color w:val="0066CC"/>
        </w:rPr>
        <w:t>Diapositiva 6 – Subíndices GQM por familia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por objetivos GQM:  </w:t>
      </w:r>
    </w:p>
    <w:p>
      <w:pPr>
        <w:pStyle w:val="ListBullet"/>
        <w:keepLines w:val="1"/>
        <w:keepNext w:val="1"/>
        <w:widowControl w:val="1"/>
      </w:pPr>
      <w:r>
        <w:t xml:space="preserve">G‑MAD‑1 (madurez), G‑RISK‑1, G‑TECH‑1, G‑INC‑1, G‑AWARE‑1, G‑RES‑1, G‑SUP‑1, G‑REG‑1, G‑GOV‑1.  </w:t>
      </w:r>
    </w:p>
    <w:p>
      <w:pPr>
        <w:pStyle w:val="ListBullet"/>
        <w:keepLines w:val="1"/>
        <w:widowControl w:val="1"/>
      </w:pPr>
      <w:r>
        <w:t>Destacar 2–3 puntos fuertes y 2–3 áreas de mejora.</w:t>
      </w:r>
    </w:p>
    <w:p>
      <w:pPr>
        <w:pStyle w:val="Heading2"/>
        <w:keepNext/>
        <w:keepLines/>
      </w:pPr>
      <w:r>
        <w:rPr>
          <w:color w:val="0066CC"/>
        </w:rPr>
        <w:t>Diapositiva 7 – Calidad de las métricas (PRAGMATIC)</w:t>
      </w:r>
    </w:p>
    <w:p>
      <w:pPr>
        <w:pStyle w:val="ListBullet"/>
        <w:keepLines w:val="1"/>
        <w:keepNext w:val="1"/>
        <w:widowControl w:val="1"/>
      </w:pPr>
      <w:r>
        <w:t xml:space="preserve">Promedio de puntuaciones PRAGMATIC por grupo de métricas.  </w:t>
      </w:r>
    </w:p>
    <w:p>
      <w:pPr>
        <w:pStyle w:val="ListBullet"/>
        <w:keepLines w:val="1"/>
        <w:keepNext w:val="1"/>
        <w:widowControl w:val="1"/>
      </w:pPr>
      <w:r>
        <w:t xml:space="preserve">Gráfico que muestre, por ejemplo: P, R, A y M vs C (coste).  </w:t>
      </w:r>
    </w:p>
    <w:p>
      <w:pPr>
        <w:pStyle w:val="ListBullet"/>
        <w:keepLines w:val="1"/>
        <w:widowControl w:val="1"/>
      </w:pPr>
      <w:r>
        <w:t>Mensaje: ¿tenemos métricas predictivas y accionables o, más bien, históricas y decorativas?</w:t>
      </w:r>
    </w:p>
    <w:p>
      <w:pPr>
        <w:pStyle w:val="Heading2"/>
        <w:keepNext/>
        <w:keepLines/>
      </w:pPr>
      <w:r>
        <w:rPr>
          <w:color w:val="0066CC"/>
        </w:rPr>
        <w:t>Diapositiva 8 – Riesgos y exposición técnica</w:t>
      </w:r>
    </w:p>
    <w:p>
      <w:pPr>
        <w:pStyle w:val="ListBullet"/>
        <w:keepLines w:val="1"/>
        <w:keepNext w:val="1"/>
        <w:widowControl w:val="1"/>
      </w:pPr>
      <w:r>
        <w:t xml:space="preserve">Principales resultados de:  </w:t>
      </w:r>
    </w:p>
    <w:p>
      <w:pPr>
        <w:pStyle w:val="ListBullet"/>
        <w:keepLines w:val="1"/>
        <w:keepNext w:val="1"/>
        <w:widowControl w:val="1"/>
      </w:pPr>
      <w:r>
        <w:t xml:space="preserve">M‑RISK‑ASSETS, M‑RISK‑TREATED, M‑RISK‑OVERAPP.  </w:t>
      </w:r>
    </w:p>
    <w:p>
      <w:pPr>
        <w:pStyle w:val="ListBullet"/>
        <w:keepLines w:val="1"/>
        <w:keepNext w:val="1"/>
        <w:widowControl w:val="1"/>
      </w:pPr>
      <w:r>
        <w:t xml:space="preserve">M‑TECH‑CRIT‑MTTR, M‑TECH‑EXPOSED, M‑TECH‑SUPPORTED.  </w:t>
      </w:r>
    </w:p>
    <w:p>
      <w:pPr>
        <w:pStyle w:val="ListBullet"/>
        <w:keepLines w:val="1"/>
        <w:widowControl w:val="1"/>
      </w:pPr>
      <w:r>
        <w:t>Conexión con el riesgo de incidentes significativos.</w:t>
      </w:r>
    </w:p>
    <w:p>
      <w:pPr>
        <w:pStyle w:val="Heading2"/>
        <w:keepNext/>
        <w:keepLines/>
      </w:pPr>
      <w:r>
        <w:rPr>
          <w:color w:val="0066CC"/>
        </w:rPr>
        <w:t>Diapositiva 9 – Incidentes, SOC y resiliencia</w:t>
      </w:r>
    </w:p>
    <w:p>
      <w:pPr>
        <w:pStyle w:val="ListBullet"/>
        <w:keepLines w:val="1"/>
        <w:keepNext w:val="1"/>
        <w:widowControl w:val="1"/>
      </w:pPr>
      <w:r>
        <w:t xml:space="preserve">Datos clave:  </w:t>
      </w:r>
    </w:p>
    <w:p>
      <w:pPr>
        <w:pStyle w:val="ListBullet"/>
        <w:keepLines w:val="1"/>
        <w:keepNext w:val="1"/>
        <w:widowControl w:val="1"/>
      </w:pPr>
      <w:r>
        <w:t xml:space="preserve">M‑INC‑MTTD, M‑INC‑MTTR, M‑INC‑SLA, M‑INC‑SEV, M‑RES‑RTO‑MEET.  </w:t>
      </w:r>
    </w:p>
    <w:p>
      <w:pPr>
        <w:pStyle w:val="ListBullet"/>
        <w:keepLines w:val="1"/>
        <w:widowControl w:val="1"/>
      </w:pPr>
      <w:r>
        <w:t>Interpretación: capacidad real de detección y recuperación frente a escenarios críticos.</w:t>
      </w:r>
    </w:p>
    <w:p>
      <w:pPr>
        <w:pStyle w:val="Heading2"/>
        <w:keepNext/>
        <w:keepLines/>
      </w:pPr>
      <w:r>
        <w:rPr>
          <w:color w:val="0066CC"/>
        </w:rPr>
        <w:t>Diapositiva 10 – Factor humano</w:t>
      </w:r>
    </w:p>
    <w:p>
      <w:pPr>
        <w:pStyle w:val="ListBullet"/>
        <w:keepLines w:val="1"/>
        <w:keepNext w:val="1"/>
        <w:widowControl w:val="1"/>
      </w:pPr>
      <w:r>
        <w:t xml:space="preserve">Resultados de:  </w:t>
      </w:r>
    </w:p>
    <w:p>
      <w:pPr>
        <w:pStyle w:val="ListBullet"/>
        <w:keepLines w:val="1"/>
        <w:keepNext w:val="1"/>
        <w:widowControl w:val="1"/>
      </w:pPr>
      <w:r>
        <w:t xml:space="preserve">M‑AWARE‑COVER, M‑AWARE‑PHISH‑CLICK, M‑AWARE‑PHISH‑REPORT.  </w:t>
      </w:r>
    </w:p>
    <w:p>
      <w:pPr>
        <w:pStyle w:val="ListBullet"/>
        <w:keepLines w:val="1"/>
        <w:widowControl w:val="1"/>
      </w:pPr>
      <w:r>
        <w:t>Mensaje: nivel de riesgo por ingeniería social y cultura de reporte.</w:t>
      </w:r>
    </w:p>
    <w:p>
      <w:pPr>
        <w:pStyle w:val="Heading2"/>
        <w:keepNext/>
        <w:keepLines/>
      </w:pPr>
      <w:r>
        <w:rPr>
          <w:color w:val="0066CC"/>
        </w:rPr>
        <w:t>Diapositiva 11 – Terceros y regulación</w:t>
      </w:r>
    </w:p>
    <w:p>
      <w:pPr>
        <w:pStyle w:val="ListBullet"/>
        <w:keepLines w:val="1"/>
        <w:keepNext w:val="1"/>
        <w:widowControl w:val="1"/>
      </w:pPr>
      <w:r>
        <w:t xml:space="preserve">Métricas de proveedores: M‑SUP‑CRIT‑EVAL, M‑SUP‑INC.  </w:t>
      </w:r>
    </w:p>
    <w:p>
      <w:pPr>
        <w:pStyle w:val="ListBullet"/>
        <w:keepLines w:val="1"/>
        <w:keepNext w:val="1"/>
        <w:widowControl w:val="1"/>
      </w:pPr>
      <w:r>
        <w:t xml:space="preserve">Índice de alineamiento con NIS2, métricas de brechas de datos (M‑REG‑NIS2‑ALIGN, M‑REG‑BREACH).  </w:t>
      </w:r>
    </w:p>
    <w:p>
      <w:pPr>
        <w:pStyle w:val="ListBullet"/>
        <w:keepLines w:val="1"/>
        <w:widowControl w:val="1"/>
      </w:pPr>
      <w:r>
        <w:t>Cómo se compara esto con expectativas reguladoras y tendencias nacionales/europeas.</w:t>
      </w:r>
    </w:p>
    <w:p>
      <w:pPr>
        <w:pStyle w:val="Heading2"/>
        <w:keepNext/>
        <w:keepLines/>
      </w:pPr>
      <w:r>
        <w:rPr>
          <w:color w:val="0066CC"/>
        </w:rPr>
        <w:t>Diapositiva 12 – Gobierno de métricas</w:t>
      </w:r>
    </w:p>
    <w:p>
      <w:pPr>
        <w:pStyle w:val="ListBullet"/>
        <w:keepLines w:val="1"/>
        <w:keepNext w:val="1"/>
        <w:widowControl w:val="1"/>
      </w:pPr>
      <w:r>
        <w:t xml:space="preserve">Nivel de automatización (M‑GOV‑AUTO).  </w:t>
      </w:r>
    </w:p>
    <w:p>
      <w:pPr>
        <w:pStyle w:val="ListBullet"/>
        <w:keepLines w:val="1"/>
        <w:keepNext w:val="1"/>
        <w:widowControl w:val="1"/>
      </w:pPr>
      <w:r>
        <w:t xml:space="preserve">Percepción de calidad de datos (M‑GOV‑DATAQUAL).  </w:t>
      </w:r>
    </w:p>
    <w:p>
      <w:pPr>
        <w:pStyle w:val="ListBullet"/>
        <w:keepLines w:val="1"/>
        <w:widowControl w:val="1"/>
      </w:pPr>
      <w:r>
        <w:t>Conclusión: cuán robusta es la “fábrica de indicadores” que alimenta al SGSI.</w:t>
      </w:r>
    </w:p>
    <w:p>
      <w:pPr>
        <w:pStyle w:val="Heading2"/>
        <w:keepNext/>
        <w:keepLines/>
      </w:pPr>
      <w:r>
        <w:rPr>
          <w:color w:val="0066CC"/>
        </w:rPr>
        <w:t>Diapositiva 13 – ROI y perspectiva económica</w:t>
      </w:r>
    </w:p>
    <w:p>
      <w:pPr>
        <w:pStyle w:val="ListBullet"/>
        <w:keepLines w:val="1"/>
        <w:keepNext w:val="1"/>
        <w:widowControl w:val="1"/>
      </w:pPr>
      <w:r>
        <w:t xml:space="preserve">Resultados de ROI de seguridad para las organizaciones que aporten datos.  </w:t>
      </w:r>
    </w:p>
    <w:p>
      <w:pPr>
        <w:pStyle w:val="ListBullet"/>
        <w:keepLines w:val="1"/>
        <w:keepNext w:val="1"/>
        <w:widowControl w:val="1"/>
      </w:pPr>
      <w:r>
        <w:t xml:space="preserve">Ejemplos: coste por punto de IGM, coste por incidente evitado.  </w:t>
      </w:r>
    </w:p>
    <w:p>
      <w:pPr>
        <w:pStyle w:val="ListBullet"/>
        <w:keepLines w:val="1"/>
        <w:widowControl w:val="1"/>
      </w:pPr>
      <w:r>
        <w:t>Mensaje: cómo traducir mejoras en indicadores a valor económico y reducción de riesgo.</w:t>
      </w:r>
    </w:p>
    <w:p>
      <w:pPr>
        <w:pStyle w:val="Heading2"/>
        <w:keepNext/>
        <w:keepLines/>
      </w:pPr>
      <w:r>
        <w:rPr>
          <w:color w:val="0066CC"/>
        </w:rPr>
        <w:t>Diapositiva 14 – Prioridades de mejora</w:t>
      </w:r>
    </w:p>
    <w:p>
      <w:pPr>
        <w:pStyle w:val="ListBullet"/>
        <w:keepLines w:val="1"/>
        <w:keepNext w:val="1"/>
        <w:widowControl w:val="1"/>
      </w:pPr>
      <w:r>
        <w:t xml:space="preserve">Principales brechas identificadas por GQM y PRAGMATIC.  </w:t>
      </w:r>
    </w:p>
    <w:p>
      <w:pPr>
        <w:pStyle w:val="ListBullet"/>
        <w:keepLines w:val="1"/>
        <w:widowControl w:val="1"/>
      </w:pPr>
      <w:r>
        <w:t>Lista de 4–5 acciones prioritarias (por ejemplo, reforzar métricas de terceros, mejorar MTTR, automatizar recogida de datos críticos, etc.).</w:t>
      </w:r>
    </w:p>
    <w:p>
      <w:pPr>
        <w:pStyle w:val="Heading2"/>
        <w:keepNext/>
        <w:keepLines/>
      </w:pPr>
      <w:r>
        <w:rPr>
          <w:color w:val="0066CC"/>
        </w:rPr>
        <w:t>Diapositiva 15 – Hoja de ruta propuesta</w:t>
      </w:r>
    </w:p>
    <w:p>
      <w:pPr>
        <w:pStyle w:val="ListBullet"/>
        <w:keepLines w:val="1"/>
        <w:keepNext w:val="1"/>
        <w:widowControl w:val="1"/>
      </w:pPr>
      <w:r>
        <w:t xml:space="preserve">Corto plazo (0–6 meses): limpieza de métricas, selección y ajustes rápidos.  </w:t>
      </w:r>
    </w:p>
    <w:p>
      <w:pPr>
        <w:pStyle w:val="ListBullet"/>
        <w:keepLines w:val="1"/>
        <w:keepNext w:val="1"/>
        <w:widowControl w:val="1"/>
      </w:pPr>
      <w:r>
        <w:t xml:space="preserve">Medio plazo (6–18 meses): integración en GRC/BI, mejora de automatización, reforzar métricas de alta puntuación PRAGMATIC.  </w:t>
      </w:r>
    </w:p>
    <w:p>
      <w:pPr>
        <w:pStyle w:val="ListBullet"/>
        <w:keepLines w:val="1"/>
        <w:widowControl w:val="1"/>
      </w:pPr>
      <w:r>
        <w:t>Largo plazo (&gt; 18 meses): modelos de predicción, indicadores avanzados, plena integración en gestión de riesgos y planificación.</w:t>
      </w:r>
    </w:p>
    <w:p>
      <w:pPr>
        <w:pStyle w:val="Heading2"/>
        <w:keepNext/>
        <w:keepLines/>
      </w:pPr>
      <w:r>
        <w:rPr>
          <w:color w:val="0066CC"/>
        </w:rPr>
        <w:t>Diapositiva 16 – Cierre</w:t>
      </w:r>
    </w:p>
    <w:p>
      <w:pPr>
        <w:pStyle w:val="ListBullet"/>
        <w:keepLines w:val="1"/>
        <w:keepNext w:val="1"/>
        <w:widowControl w:val="1"/>
      </w:pPr>
      <w:r>
        <w:t xml:space="preserve">Recordatorio: un SGSI sin métricas útiles es difícil de gestionar; métricas sin objetivo ni calidad son puro ruido.  </w:t>
      </w:r>
    </w:p>
    <w:p>
      <w:pPr>
        <w:pStyle w:val="ListBullet"/>
        <w:keepLines w:val="1"/>
        <w:widowControl w:val="1"/>
      </w:pPr>
      <w:r>
        <w:t>Invitación a decidir: qué métricas se adoptan como “core”, qué métricas se retiran y qué proyectos se priorizan en base a los resultados.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