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(estilo PowerPoint) – Encuesta ISO 27001</w:t>
      </w:r>
    </w:p>
    <w:p>
      <w:r>
        <w:t>A continuación se propone una estructura de presentación para comunicar los resultados de la encuesta a comités de dirección, consejos y otros foros ejecutivos.</w:t>
      </w:r>
    </w:p>
    <w:p>
      <w:r>
        <w:t>Cada sección corresponde a una diapositiva (o conjunto de ellas). El contenido se puede trasladar a PowerPoint, Keynote o herramientas similares.</w:t>
      </w:r>
    </w:p>
    <w:p>
      <w:pPr>
        <w:pStyle w:val="Heading2"/>
        <w:keepNext/>
        <w:keepLines/>
      </w:pPr>
      <w:r>
        <w:rPr>
          <w:color w:val="0066CC"/>
        </w:rPr>
        <w:t>Diapositiva 1 – Título</w:t>
      </w:r>
    </w:p>
    <w:p>
      <w:pPr>
        <w:pStyle w:val="ListBullet"/>
        <w:keepLines w:val="1"/>
        <w:keepNext w:val="1"/>
        <w:widowControl w:val="1"/>
      </w:pPr>
      <w:r>
        <w:t xml:space="preserve">Título: Estado de los indicadores y métricas de ciberseguridad (ISO 27001)  </w:t>
      </w:r>
    </w:p>
    <w:p>
      <w:pPr>
        <w:pStyle w:val="ListBullet"/>
        <w:keepLines w:val="1"/>
        <w:keepNext w:val="1"/>
        <w:widowControl w:val="1"/>
      </w:pPr>
      <w:r>
        <w:t xml:space="preserve">Subtítulo: Resultados de la encuesta en [nombre de sector / ámbito]  </w:t>
      </w:r>
    </w:p>
    <w:p>
      <w:pPr>
        <w:pStyle w:val="ListBullet"/>
        <w:keepLines w:val="1"/>
        <w:widowControl w:val="1"/>
      </w:pPr>
      <w:r>
        <w:t>Datos: Fecha, entidad responsable, logos relevantes.</w:t>
      </w:r>
    </w:p>
    <w:p>
      <w:pPr>
        <w:pStyle w:val="Heading2"/>
        <w:keepNext/>
        <w:keepLines/>
      </w:pPr>
      <w:r>
        <w:rPr>
          <w:color w:val="0066CC"/>
        </w:rPr>
        <w:t>Diapositiva 2 – Contexto y objetivos</w:t>
      </w:r>
    </w:p>
    <w:p>
      <w:pPr>
        <w:pStyle w:val="ListBullet"/>
        <w:keepLines w:val="1"/>
        <w:keepNext w:val="1"/>
        <w:widowControl w:val="1"/>
      </w:pPr>
      <w:r>
        <w:t>Objetivo: resumir el propósito de la encuesta y su alcance.</w:t>
      </w:r>
    </w:p>
    <w:p>
      <w:pPr>
        <w:pStyle w:val="ListBullet"/>
        <w:keepLines w:val="1"/>
        <w:keepNext w:val="1"/>
        <w:widowControl w:val="1"/>
      </w:pPr>
      <w:r>
        <w:t>Puntos clave:</w:t>
      </w:r>
    </w:p>
    <w:p>
      <w:pPr>
        <w:pStyle w:val="ListBullet"/>
        <w:keepLines w:val="1"/>
        <w:keepNext w:val="1"/>
        <w:widowControl w:val="1"/>
      </w:pPr>
      <w:r>
        <w:t>Evaluar cómo se diseñan y utilizan indicadores de seguridad alineados con ISO/IEC 27001:2022. [web:1][web:33]</w:t>
      </w:r>
    </w:p>
    <w:p>
      <w:pPr>
        <w:pStyle w:val="ListBullet"/>
        <w:keepLines w:val="1"/>
        <w:keepNext w:val="1"/>
        <w:widowControl w:val="1"/>
      </w:pPr>
      <w:r>
        <w:t>Analizar integración con requisitos regulatorios (NIS2, GDPR, marcos nacionales). [web:22][web:20]</w:t>
      </w:r>
    </w:p>
    <w:p>
      <w:pPr>
        <w:pStyle w:val="ListBullet"/>
        <w:keepLines w:val="1"/>
        <w:widowControl w:val="1"/>
      </w:pPr>
      <w:r>
        <w:t>Proporcionar una base para decisiones de mejora y priorización de inversiones.</w:t>
      </w:r>
    </w:p>
    <w:p>
      <w:pPr>
        <w:pStyle w:val="Heading2"/>
        <w:keepNext/>
        <w:keepLines/>
      </w:pPr>
      <w:r>
        <w:rPr>
          <w:color w:val="0066CC"/>
        </w:rPr>
        <w:t>Diapositiva 3 – Metodología (resumen)</w:t>
      </w:r>
    </w:p>
    <w:p>
      <w:pPr>
        <w:pStyle w:val="ListBullet"/>
        <w:keepLines w:val="1"/>
        <w:keepNext w:val="1"/>
        <w:widowControl w:val="1"/>
      </w:pPr>
      <w:r>
        <w:t>Tipo de encuesta (online, auto‑administrada).</w:t>
      </w:r>
    </w:p>
    <w:p>
      <w:pPr>
        <w:pStyle w:val="ListBullet"/>
        <w:keepLines w:val="1"/>
        <w:keepNext w:val="1"/>
        <w:widowControl w:val="1"/>
      </w:pPr>
      <w:r>
        <w:t>Población objetivo (CISOs, responsables de riesgos, etc.).</w:t>
      </w:r>
    </w:p>
    <w:p>
      <w:pPr>
        <w:pStyle w:val="ListBullet"/>
        <w:keepLines w:val="1"/>
        <w:keepNext w:val="1"/>
        <w:widowControl w:val="1"/>
      </w:pPr>
      <w:r>
        <w:t>Número de organizaciones participantes, sectores cubiertos, tamaño.</w:t>
      </w:r>
    </w:p>
    <w:p>
      <w:pPr>
        <w:pStyle w:val="ListBullet"/>
        <w:keepLines w:val="1"/>
        <w:widowControl w:val="1"/>
      </w:pPr>
      <w:r>
        <w:t>Referencias normativas y de buenas prácticas (ISO 27001/27004, ISACA, ENISA). [web:13][web:16]</w:t>
      </w:r>
    </w:p>
    <w:p>
      <w:pPr>
        <w:pStyle w:val="Heading2"/>
        <w:keepNext/>
        <w:keepLines/>
      </w:pPr>
      <w:r>
        <w:rPr>
          <w:color w:val="0066CC"/>
        </w:rPr>
        <w:t>Diapositiva 4 – Perfil de la muestra</w:t>
      </w:r>
    </w:p>
    <w:p>
      <w:pPr>
        <w:pStyle w:val="ListBullet"/>
        <w:keepLines w:val="1"/>
        <w:keepNext w:val="1"/>
        <w:widowControl w:val="1"/>
      </w:pPr>
      <w:r>
        <w:t>Gráficos sugeridos:</w:t>
      </w:r>
    </w:p>
    <w:p>
      <w:pPr>
        <w:pStyle w:val="ListBullet"/>
        <w:keepLines w:val="1"/>
        <w:keepNext w:val="1"/>
        <w:widowControl w:val="1"/>
      </w:pPr>
      <w:r>
        <w:t>Distribución por tipo de organización (pública, privada, operador esencial, etc.).</w:t>
      </w:r>
    </w:p>
    <w:p>
      <w:pPr>
        <w:pStyle w:val="ListBullet"/>
        <w:keepLines w:val="1"/>
        <w:keepNext w:val="1"/>
        <w:widowControl w:val="1"/>
      </w:pPr>
      <w:r>
        <w:t>Distribución por sector (sanitario, energía, banca, etc.).</w:t>
      </w:r>
    </w:p>
    <w:p>
      <w:pPr>
        <w:pStyle w:val="ListBullet"/>
        <w:keepLines w:val="1"/>
        <w:widowControl w:val="1"/>
      </w:pPr>
      <w:r>
        <w:t>Notas interpretativas breves sobre la representatividad.</w:t>
      </w:r>
    </w:p>
    <w:p>
      <w:pPr>
        <w:pStyle w:val="Heading2"/>
        <w:keepNext/>
        <w:keepLines/>
      </w:pPr>
      <w:r>
        <w:rPr>
          <w:color w:val="0066CC"/>
        </w:rPr>
        <w:t>Diapositiva 5 – Índice Global de Madurez (IGM)</w:t>
      </w:r>
    </w:p>
    <w:p>
      <w:pPr>
        <w:pStyle w:val="ListBullet"/>
        <w:keepLines w:val="1"/>
        <w:keepNext w:val="1"/>
        <w:widowControl w:val="1"/>
      </w:pPr>
      <w:r>
        <w:t>Presentar el IGM medio y su distribución (mínimo, máximo, cuartiles).</w:t>
      </w:r>
    </w:p>
    <w:p>
      <w:pPr>
        <w:pStyle w:val="ListBullet"/>
        <w:keepLines w:val="1"/>
        <w:keepNext w:val="1"/>
        <w:widowControl w:val="1"/>
      </w:pPr>
      <w:r>
        <w:t>Visualizaciones:</w:t>
      </w:r>
    </w:p>
    <w:p>
      <w:pPr>
        <w:pStyle w:val="ListBullet"/>
        <w:keepLines w:val="1"/>
        <w:keepNext w:val="1"/>
        <w:widowControl w:val="1"/>
      </w:pPr>
      <w:r>
        <w:t>Gráfico de barras o caja y bigotes.</w:t>
      </w:r>
    </w:p>
    <w:p>
      <w:pPr>
        <w:pStyle w:val="ListBullet"/>
        <w:keepLines w:val="1"/>
        <w:keepNext w:val="1"/>
        <w:widowControl w:val="1"/>
      </w:pPr>
      <w:r>
        <w:t>Semáforo de nivel medio (1–5).</w:t>
      </w:r>
    </w:p>
    <w:p>
      <w:pPr>
        <w:pStyle w:val="ListBullet"/>
        <w:keepLines w:val="1"/>
        <w:widowControl w:val="1"/>
      </w:pPr>
      <w:r>
        <w:t>Mensaje clave: en qué nivel se sitúa globalmente el sistema de indicadores de las organizaciones estudiadas.</w:t>
      </w:r>
    </w:p>
    <w:p>
      <w:pPr>
        <w:pStyle w:val="Heading2"/>
        <w:keepNext/>
        <w:keepLines/>
      </w:pPr>
      <w:r>
        <w:rPr>
          <w:color w:val="0066CC"/>
        </w:rPr>
        <w:t>Diapositiva 6 – Subíndices por bloque</w:t>
      </w:r>
    </w:p>
    <w:p>
      <w:pPr>
        <w:pStyle w:val="ListBullet"/>
        <w:keepLines w:val="1"/>
        <w:keepNext w:val="1"/>
        <w:widowControl w:val="1"/>
      </w:pPr>
      <w:r>
        <w:t>Mostrar resultados por bloques principales:</w:t>
      </w:r>
    </w:p>
    <w:p>
      <w:pPr>
        <w:pStyle w:val="ListBullet"/>
        <w:keepLines w:val="1"/>
        <w:keepNext w:val="1"/>
        <w:widowControl w:val="1"/>
      </w:pPr>
      <w:r>
        <w:t>Gobernanza y metodología.</w:t>
      </w:r>
    </w:p>
    <w:p>
      <w:pPr>
        <w:pStyle w:val="ListBullet"/>
        <w:keepLines w:val="1"/>
        <w:keepNext w:val="1"/>
        <w:widowControl w:val="1"/>
      </w:pPr>
      <w:r>
        <w:t>Riesgos.</w:t>
      </w:r>
    </w:p>
    <w:p>
      <w:pPr>
        <w:pStyle w:val="ListBullet"/>
        <w:keepLines w:val="1"/>
        <w:keepNext w:val="1"/>
        <w:widowControl w:val="1"/>
      </w:pPr>
      <w:r>
        <w:t>Técnicos / vulnerabilidades.</w:t>
      </w:r>
    </w:p>
    <w:p>
      <w:pPr>
        <w:pStyle w:val="ListBullet"/>
        <w:keepLines w:val="1"/>
        <w:keepNext w:val="1"/>
        <w:widowControl w:val="1"/>
      </w:pPr>
      <w:r>
        <w:t>Incidentes / SOC.</w:t>
      </w:r>
    </w:p>
    <w:p>
      <w:pPr>
        <w:pStyle w:val="ListBullet"/>
        <w:keepLines w:val="1"/>
        <w:keepNext w:val="1"/>
        <w:widowControl w:val="1"/>
      </w:pPr>
      <w:r>
        <w:t>Concienciación.</w:t>
      </w:r>
    </w:p>
    <w:p>
      <w:pPr>
        <w:pStyle w:val="ListBullet"/>
        <w:keepLines w:val="1"/>
        <w:keepNext w:val="1"/>
        <w:widowControl w:val="1"/>
      </w:pPr>
      <w:r>
        <w:t>Resiliencia.</w:t>
      </w:r>
    </w:p>
    <w:p>
      <w:pPr>
        <w:pStyle w:val="ListBullet"/>
        <w:keepLines w:val="1"/>
        <w:keepNext w:val="1"/>
        <w:widowControl w:val="1"/>
      </w:pPr>
      <w:r>
        <w:t>Regulación.</w:t>
      </w:r>
    </w:p>
    <w:p>
      <w:pPr>
        <w:pStyle w:val="ListBullet"/>
        <w:keepLines w:val="1"/>
        <w:keepNext w:val="1"/>
        <w:widowControl w:val="1"/>
      </w:pPr>
      <w:r>
        <w:t>Utilizar gráfico tipo radar o barras comparativas.</w:t>
      </w:r>
    </w:p>
    <w:p>
      <w:pPr>
        <w:pStyle w:val="ListBullet"/>
        <w:keepLines w:val="1"/>
        <w:widowControl w:val="1"/>
      </w:pPr>
      <w:r>
        <w:t>Resaltar las 2–3 áreas más fuertes y las 2–3 más débiles.</w:t>
      </w:r>
    </w:p>
    <w:p>
      <w:pPr>
        <w:pStyle w:val="Heading2"/>
        <w:keepNext/>
        <w:keepLines/>
      </w:pPr>
      <w:r>
        <w:rPr>
          <w:color w:val="0066CC"/>
        </w:rPr>
        <w:t>Diapositiva 7 – Gobernanza y uso de indicadores</w:t>
      </w:r>
    </w:p>
    <w:p>
      <w:pPr>
        <w:pStyle w:val="ListBullet"/>
        <w:keepLines w:val="1"/>
        <w:keepNext w:val="1"/>
        <w:widowControl w:val="1"/>
      </w:pPr>
      <w:r>
        <w:t>¿Cuántas organizaciones tienen sistema formal de indicadores aprobado?</w:t>
      </w:r>
    </w:p>
    <w:p>
      <w:pPr>
        <w:pStyle w:val="ListBullet"/>
        <w:keepLines w:val="1"/>
        <w:keepNext w:val="1"/>
        <w:widowControl w:val="1"/>
      </w:pPr>
      <w:r>
        <w:t>¿Con qué frecuencia se revisan en órganos de gobierno?</w:t>
      </w:r>
    </w:p>
    <w:p>
      <w:pPr>
        <w:pStyle w:val="ListBullet"/>
        <w:keepLines w:val="1"/>
        <w:keepNext w:val="1"/>
        <w:widowControl w:val="1"/>
      </w:pPr>
      <w:r>
        <w:t>¿Influyen en decisiones de inversión?</w:t>
      </w:r>
    </w:p>
    <w:p>
      <w:pPr>
        <w:pStyle w:val="ListBullet"/>
        <w:keepLines w:val="1"/>
        <w:widowControl w:val="1"/>
      </w:pPr>
      <w:r>
        <w:t>Mensaje narrativo: grado de institucionalización de la medición.</w:t>
      </w:r>
    </w:p>
    <w:p>
      <w:pPr>
        <w:pStyle w:val="Heading2"/>
        <w:keepNext/>
        <w:keepLines/>
      </w:pPr>
      <w:r>
        <w:rPr>
          <w:color w:val="0066CC"/>
        </w:rPr>
        <w:t>Diapositiva 8 – Riesgos y controles técnicos</w:t>
      </w:r>
    </w:p>
    <w:p>
      <w:pPr>
        <w:pStyle w:val="ListBullet"/>
        <w:keepLines w:val="1"/>
        <w:keepNext w:val="1"/>
        <w:widowControl w:val="1"/>
      </w:pPr>
      <w:r>
        <w:t>Resultados clave:</w:t>
      </w:r>
    </w:p>
    <w:p>
      <w:pPr>
        <w:pStyle w:val="ListBullet"/>
        <w:keepLines w:val="1"/>
        <w:keepNext w:val="1"/>
        <w:widowControl w:val="1"/>
      </w:pPr>
      <w:r>
        <w:t>% de organizaciones con KRIs definidos y usados.</w:t>
      </w:r>
    </w:p>
    <w:p>
      <w:pPr>
        <w:pStyle w:val="ListBullet"/>
        <w:keepLines w:val="1"/>
        <w:keepNext w:val="1"/>
        <w:widowControl w:val="1"/>
      </w:pPr>
      <w:r>
        <w:t>Nivel de uso de métricas de vulnerabilidades y patching.</w:t>
      </w:r>
    </w:p>
    <w:p>
      <w:pPr>
        <w:pStyle w:val="ListBullet"/>
        <w:keepLines w:val="1"/>
        <w:keepNext w:val="1"/>
        <w:widowControl w:val="1"/>
      </w:pPr>
      <w:r>
        <w:t>Posibles visualizaciones:</w:t>
      </w:r>
    </w:p>
    <w:p>
      <w:pPr>
        <w:pStyle w:val="ListBullet"/>
        <w:keepLines w:val="1"/>
        <w:keepNext w:val="1"/>
        <w:widowControl w:val="1"/>
      </w:pPr>
      <w:r>
        <w:t>Gráfico comparando adopción de KPIs de riesgos vs. técnicos.</w:t>
      </w:r>
    </w:p>
    <w:p>
      <w:pPr>
        <w:pStyle w:val="ListBullet"/>
        <w:keepLines w:val="1"/>
        <w:widowControl w:val="1"/>
      </w:pPr>
      <w:r>
        <w:t>Mensaje: dónde se concentra la medición y qué áreas están menos cubiertas.</w:t>
      </w:r>
    </w:p>
    <w:p>
      <w:pPr>
        <w:pStyle w:val="Heading2"/>
        <w:keepNext/>
        <w:keepLines/>
      </w:pPr>
      <w:r>
        <w:rPr>
          <w:color w:val="0066CC"/>
        </w:rPr>
        <w:t>Diapositiva 9 – Incidentes, SOC y resiliencia</w:t>
      </w:r>
    </w:p>
    <w:p>
      <w:pPr>
        <w:pStyle w:val="ListBullet"/>
        <w:keepLines w:val="1"/>
        <w:keepNext w:val="1"/>
        <w:widowControl w:val="1"/>
      </w:pPr>
      <w:r>
        <w:t>Estadísticas sobre:</w:t>
      </w:r>
    </w:p>
    <w:p>
      <w:pPr>
        <w:pStyle w:val="ListBullet"/>
        <w:keepLines w:val="1"/>
        <w:keepNext w:val="1"/>
        <w:widowControl w:val="1"/>
      </w:pPr>
      <w:r>
        <w:t>Indicadores de incidentes (MTTD, MTTR, SLA, reincidencia).</w:t>
      </w:r>
    </w:p>
    <w:p>
      <w:pPr>
        <w:pStyle w:val="ListBullet"/>
        <w:keepLines w:val="1"/>
        <w:keepNext w:val="1"/>
        <w:widowControl w:val="1"/>
      </w:pPr>
      <w:r>
        <w:t>Existencia de KPIs para SOC y capacidades de detección avanzada.</w:t>
      </w:r>
    </w:p>
    <w:p>
      <w:pPr>
        <w:pStyle w:val="ListBullet"/>
        <w:keepLines w:val="1"/>
        <w:keepNext w:val="1"/>
        <w:widowControl w:val="1"/>
      </w:pPr>
      <w:r>
        <w:t>Indicadores de continuidad (RTO/RPO, pruebas). [web:16][web:12]</w:t>
      </w:r>
    </w:p>
    <w:p>
      <w:pPr>
        <w:pStyle w:val="ListBullet"/>
        <w:keepLines w:val="1"/>
        <w:widowControl w:val="1"/>
      </w:pPr>
      <w:r>
        <w:t>Relación con tendencias nacionales (incremento de incidentes, etc.). [web:12][web:36]</w:t>
      </w:r>
    </w:p>
    <w:p>
      <w:pPr>
        <w:pStyle w:val="Heading2"/>
        <w:keepNext/>
        <w:keepLines/>
      </w:pPr>
      <w:r>
        <w:rPr>
          <w:color w:val="0066CC"/>
        </w:rPr>
        <w:t>Diapositiva 10 – Concienciación y comportamiento</w:t>
      </w:r>
    </w:p>
    <w:p>
      <w:pPr>
        <w:pStyle w:val="ListBullet"/>
        <w:keepLines w:val="1"/>
        <w:keepNext w:val="1"/>
        <w:widowControl w:val="1"/>
      </w:pPr>
      <w:r>
        <w:t>Nivel de uso de:</w:t>
      </w:r>
    </w:p>
    <w:p>
      <w:pPr>
        <w:pStyle w:val="ListBullet"/>
        <w:keepLines w:val="1"/>
        <w:keepNext w:val="1"/>
        <w:widowControl w:val="1"/>
      </w:pPr>
      <w:r>
        <w:t>KPIs de formación (cobertura, resultados).</w:t>
      </w:r>
    </w:p>
    <w:p>
      <w:pPr>
        <w:pStyle w:val="ListBullet"/>
        <w:keepLines w:val="1"/>
        <w:keepNext w:val="1"/>
        <w:widowControl w:val="1"/>
      </w:pPr>
      <w:r>
        <w:t>Métricas de campañas de phishing simulado.</w:t>
      </w:r>
    </w:p>
    <w:p>
      <w:pPr>
        <w:pStyle w:val="ListBullet"/>
        <w:keepLines w:val="1"/>
        <w:widowControl w:val="1"/>
      </w:pPr>
      <w:r>
        <w:t>Conclusiones rápidas sobre cultura de seguridad y métricas asociadas.</w:t>
      </w:r>
    </w:p>
    <w:p>
      <w:pPr>
        <w:pStyle w:val="Heading2"/>
        <w:keepNext/>
        <w:keepLines/>
      </w:pPr>
      <w:r>
        <w:rPr>
          <w:color w:val="0066CC"/>
        </w:rPr>
        <w:t>Diapositiva 11 – Regulación y benchmarking</w:t>
      </w:r>
    </w:p>
    <w:p>
      <w:pPr>
        <w:pStyle w:val="ListBullet"/>
        <w:keepLines w:val="1"/>
        <w:keepNext w:val="1"/>
        <w:widowControl w:val="1"/>
      </w:pPr>
      <w:r>
        <w:t>Grado de alineamiento percibido con NIS2, GDPR y otros marcos.</w:t>
      </w:r>
    </w:p>
    <w:p>
      <w:pPr>
        <w:pStyle w:val="ListBullet"/>
        <w:keepLines w:val="1"/>
        <w:keepNext w:val="1"/>
        <w:widowControl w:val="1"/>
      </w:pPr>
      <w:r>
        <w:t>Uso de datos de INCIBE, ENISA y organismos similares como benchmarks. [web:12][web:16][web:20]</w:t>
      </w:r>
    </w:p>
    <w:p>
      <w:pPr>
        <w:pStyle w:val="ListBullet"/>
        <w:keepLines w:val="1"/>
        <w:widowControl w:val="1"/>
      </w:pPr>
      <w:r>
        <w:t>Mensaje: en qué medida las métricas internas están conectadas con el contexto externo.</w:t>
      </w:r>
    </w:p>
    <w:p>
      <w:pPr>
        <w:pStyle w:val="Heading2"/>
        <w:keepNext/>
        <w:keepLines/>
      </w:pPr>
      <w:r>
        <w:rPr>
          <w:color w:val="0066CC"/>
        </w:rPr>
        <w:t>Diapositiva 12 – Automatización y calidad de datos</w:t>
      </w:r>
    </w:p>
    <w:p>
      <w:pPr>
        <w:pStyle w:val="ListBullet"/>
        <w:keepLines w:val="1"/>
        <w:keepNext w:val="1"/>
        <w:widowControl w:val="1"/>
      </w:pPr>
      <w:r>
        <w:t>Porcentaje de organizaciones con alta automatización de la recogida de datos.</w:t>
      </w:r>
    </w:p>
    <w:p>
      <w:pPr>
        <w:pStyle w:val="ListBullet"/>
        <w:keepLines w:val="1"/>
        <w:keepNext w:val="1"/>
        <w:widowControl w:val="1"/>
      </w:pPr>
      <w:r>
        <w:t>Evaluación de la calidad de los datos (formal, informal, inexistente).</w:t>
      </w:r>
    </w:p>
    <w:p>
      <w:pPr>
        <w:pStyle w:val="ListBullet"/>
        <w:keepLines w:val="1"/>
        <w:widowControl w:val="1"/>
      </w:pPr>
      <w:r>
        <w:t>Riesgos y oportunidades asociados (por ejemplo, “indicadores sofisticados apoyados en datos dudosos”).</w:t>
      </w:r>
    </w:p>
    <w:p>
      <w:pPr>
        <w:pStyle w:val="Heading2"/>
        <w:keepNext/>
        <w:keepLines/>
      </w:pPr>
      <w:r>
        <w:rPr>
          <w:color w:val="0066CC"/>
        </w:rPr>
        <w:t>Diapositiva 13 – ROI y visión económica</w:t>
      </w:r>
    </w:p>
    <w:p>
      <w:pPr>
        <w:pStyle w:val="ListBullet"/>
        <w:keepLines w:val="1"/>
        <w:keepNext w:val="1"/>
        <w:widowControl w:val="1"/>
      </w:pPr>
      <w:r>
        <w:t>Presentar resultados de ROI de seguridad, si se han calculado (media, dispersión). [web:4][web:13]</w:t>
      </w:r>
    </w:p>
    <w:p>
      <w:pPr>
        <w:pStyle w:val="ListBullet"/>
        <w:keepLines w:val="1"/>
        <w:keepNext w:val="1"/>
        <w:widowControl w:val="1"/>
      </w:pPr>
      <w:r>
        <w:t>Otros indicadores económicos: coste por incidente, coste por punto de IGM, etc.</w:t>
      </w:r>
    </w:p>
    <w:p>
      <w:pPr>
        <w:pStyle w:val="ListBullet"/>
        <w:keepLines w:val="1"/>
        <w:widowControl w:val="1"/>
      </w:pPr>
      <w:r>
        <w:t>Mensaje: hasta qué punto se está traduciendo la seguridad a un lenguaje económico comprensible para la dirección.</w:t>
      </w:r>
    </w:p>
    <w:p>
      <w:pPr>
        <w:pStyle w:val="Heading2"/>
        <w:keepNext/>
        <w:keepLines/>
      </w:pPr>
      <w:r>
        <w:rPr>
          <w:color w:val="0066CC"/>
        </w:rPr>
        <w:t>Diapositiva 14 – Áreas de mejora prioritarias</w:t>
      </w:r>
    </w:p>
    <w:p>
      <w:pPr>
        <w:pStyle w:val="ListBullet"/>
        <w:keepLines w:val="1"/>
        <w:keepNext w:val="1"/>
        <w:widowControl w:val="1"/>
      </w:pPr>
      <w:r>
        <w:t>Basándose en los resultados, proponer 3–5 líneas de acción:</w:t>
      </w:r>
    </w:p>
    <w:p>
      <w:pPr>
        <w:pStyle w:val="ListBullet"/>
        <w:keepLines w:val="1"/>
        <w:keepNext w:val="1"/>
        <w:widowControl w:val="1"/>
      </w:pPr>
      <w:r>
        <w:t>Fortalecer el diseño metodológico de KPIs.</w:t>
      </w:r>
    </w:p>
    <w:p>
      <w:pPr>
        <w:pStyle w:val="ListBullet"/>
        <w:keepLines w:val="1"/>
        <w:keepNext w:val="1"/>
        <w:widowControl w:val="1"/>
      </w:pPr>
      <w:r>
        <w:t>Mejorar medición de resiliencia y terceros.</w:t>
      </w:r>
    </w:p>
    <w:p>
      <w:pPr>
        <w:pStyle w:val="ListBullet"/>
        <w:keepLines w:val="1"/>
        <w:keepNext w:val="1"/>
        <w:widowControl w:val="1"/>
      </w:pPr>
      <w:r>
        <w:t>Incrementar automatización y calidad de datos.</w:t>
      </w:r>
    </w:p>
    <w:p>
      <w:pPr>
        <w:pStyle w:val="ListBullet"/>
        <w:keepLines w:val="1"/>
        <w:keepNext w:val="1"/>
        <w:widowControl w:val="1"/>
      </w:pPr>
      <w:r>
        <w:t>Integrar indicadores con marcos regulatorios y de riesgo empresarial.</w:t>
      </w:r>
    </w:p>
    <w:p>
      <w:pPr>
        <w:pStyle w:val="ListBullet"/>
        <w:keepLines w:val="1"/>
        <w:widowControl w:val="1"/>
      </w:pPr>
      <w:r>
        <w:t>Enfatizar que son recomendaciones, no sentencias.</w:t>
      </w:r>
    </w:p>
    <w:p>
      <w:pPr>
        <w:pStyle w:val="Heading2"/>
        <w:keepNext/>
        <w:keepLines/>
      </w:pPr>
      <w:r>
        <w:rPr>
          <w:color w:val="0066CC"/>
        </w:rPr>
        <w:t>Diapositiva 15 – Hoja de ruta sugerida</w:t>
      </w:r>
    </w:p>
    <w:p>
      <w:pPr>
        <w:pStyle w:val="ListBullet"/>
        <w:keepLines w:val="1"/>
        <w:keepNext w:val="1"/>
        <w:widowControl w:val="1"/>
      </w:pPr>
      <w:r>
        <w:t>Plantear una hoja de ruta en 3 horizontes:</w:t>
      </w:r>
    </w:p>
    <w:p>
      <w:pPr>
        <w:pStyle w:val="ListBullet"/>
        <w:keepLines w:val="1"/>
        <w:keepNext w:val="1"/>
        <w:widowControl w:val="1"/>
      </w:pPr>
      <w:r>
        <w:t>Corto plazo (0–6 meses): limpieza y racionalización de indicadores, quick wins.</w:t>
      </w:r>
    </w:p>
    <w:p>
      <w:pPr>
        <w:pStyle w:val="ListBullet"/>
        <w:keepLines w:val="1"/>
        <w:keepNext w:val="1"/>
        <w:widowControl w:val="1"/>
      </w:pPr>
      <w:r>
        <w:t>Medio plazo (6–18 meses): automatización, integración con GRC, refuerzo de KPIs críticos.</w:t>
      </w:r>
    </w:p>
    <w:p>
      <w:pPr>
        <w:pStyle w:val="ListBullet"/>
        <w:keepLines w:val="1"/>
        <w:widowControl w:val="1"/>
      </w:pPr>
      <w:r>
        <w:t>Largo plazo (&gt; 18 meses): métricas avanzadas, análisis predictivo, integración plena con decisiones de negocio.</w:t>
      </w:r>
    </w:p>
    <w:p>
      <w:pPr>
        <w:pStyle w:val="Heading2"/>
        <w:keepNext/>
        <w:keepLines/>
      </w:pPr>
      <w:r>
        <w:rPr>
          <w:color w:val="0066CC"/>
        </w:rPr>
        <w:t>Diapositiva 16 – Cierre</w:t>
      </w:r>
    </w:p>
    <w:p>
      <w:pPr>
        <w:pStyle w:val="ListBullet"/>
        <w:keepLines w:val="1"/>
        <w:keepNext w:val="1"/>
        <w:widowControl w:val="1"/>
      </w:pPr>
      <w:r>
        <w:t>Mensaje final:</w:t>
      </w:r>
    </w:p>
    <w:p>
      <w:pPr>
        <w:pStyle w:val="ListBullet"/>
        <w:keepLines w:val="1"/>
        <w:keepNext w:val="1"/>
        <w:widowControl w:val="1"/>
      </w:pPr>
      <w:r>
        <w:t>Importancia de medir bien para gestionar bien.</w:t>
      </w:r>
    </w:p>
    <w:p>
      <w:pPr>
        <w:pStyle w:val="ListBullet"/>
        <w:keepLines w:val="1"/>
        <w:keepNext w:val="1"/>
        <w:widowControl w:val="1"/>
      </w:pPr>
      <w:r>
        <w:t>Relevancia en el contexto de amenazas crecientes y exigencias regulatorias. [web:16][web:22]</w:t>
      </w:r>
    </w:p>
    <w:p>
      <w:pPr>
        <w:pStyle w:val="ListBullet"/>
        <w:keepLines w:val="1"/>
        <w:widowControl w:val="1"/>
      </w:pPr>
      <w:r>
        <w:t>Espacio para preguntas, comentarios y, con algo de suerte, decisiones concretas.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