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e Indicadores ISO 27001 con GQM + PRAGMATIC</w:t>
      </w:r>
    </w:p>
    <w:p>
      <w:pPr>
        <w:pStyle w:val="Heading2"/>
        <w:keepNext/>
        <w:keepLines/>
      </w:pPr>
      <w:r>
        <w:rPr>
          <w:color w:val="0066CC"/>
        </w:rPr>
        <w:t>1. Qué es este kit</w:t>
      </w:r>
    </w:p>
    <w:p>
      <w:r>
        <w:t>Este kit amplía el “Kit de Encuesta ISO 27001” incorporando:</w:t>
      </w:r>
    </w:p>
    <w:p>
      <w:pPr>
        <w:pStyle w:val="ListBullet"/>
        <w:keepLines w:val="1"/>
        <w:keepNext w:val="1"/>
        <w:widowControl w:val="1"/>
      </w:pPr>
      <w:r>
        <w:t>Un marco GQM (Goal‑Question‑Metric) para garantizar trazabilidad entre objetivos nacionales, objetivos del SGSI y métricas técnicas. [web:40][web:43][web:51]</w:t>
      </w:r>
    </w:p>
    <w:p>
      <w:pPr>
        <w:pStyle w:val="ListBullet"/>
        <w:keepLines w:val="1"/>
        <w:widowControl w:val="1"/>
      </w:pPr>
      <w:r>
        <w:t>Una evaluación PRAGMATIC de las métricas (Predictive, Relevant, Actionable, Genuine, Meaningful, Accurate, Timely, Independent, Cheap) para priorizar indicadores útiles y sostenibles. [web:44][web:49][web:52]</w:t>
      </w:r>
    </w:p>
    <w:p>
      <w:pPr>
        <w:pStyle w:val="Heading2"/>
        <w:keepNext/>
        <w:keepLines/>
      </w:pPr>
      <w:r>
        <w:rPr>
          <w:color w:val="0066CC"/>
        </w:rPr>
        <w:t>2. Contenido</w:t>
      </w:r>
    </w:p>
    <w:p>
      <w:pPr>
        <w:pStyle w:val="ListNumber"/>
        <w:keepLines w:val="1"/>
        <w:keepNext w:val="1"/>
        <w:widowControl w:val="1"/>
      </w:pPr>
      <w:r>
        <w:br/>
        <w:t>01_marco_gqm_pragmatic.md</w:t>
        <w:br/>
        <w:t xml:space="preserve">   Describe el marco integrativo GQM + PRAGMATIC aplicado a indicadores ISO 27001.</w:t>
        <w:br/>
      </w:r>
    </w:p>
    <w:p>
      <w:pPr>
        <w:pStyle w:val="ListNumber"/>
        <w:keepLines w:val="1"/>
        <w:keepNext w:val="1"/>
        <w:widowControl w:val="1"/>
      </w:pPr>
      <w:r>
        <w:br/>
        <w:t>02_matriz_pragmatic_completa.md</w:t>
        <w:br/>
        <w:t xml:space="preserve">   Tabla con las métricas principales y su puntuación PRAGMATIC sugerida.</w:t>
        <w:br/>
      </w:r>
    </w:p>
    <w:p>
      <w:pPr>
        <w:pStyle w:val="ListNumber"/>
        <w:keepLines w:val="1"/>
        <w:keepNext w:val="1"/>
        <w:widowControl w:val="1"/>
      </w:pPr>
      <w:r>
        <w:br/>
        <w:t>03_narrativa_gqm_pragmatic.md</w:t>
        <w:br/>
        <w:t xml:space="preserve">   Narrativa que explica, en lenguaje humano, por qué y cómo se usan GQM y PRAGMATIC.</w:t>
        <w:br/>
      </w:r>
    </w:p>
    <w:p>
      <w:pPr>
        <w:pStyle w:val="ListNumber"/>
        <w:keepLines w:val="1"/>
        <w:keepNext w:val="1"/>
        <w:widowControl w:val="1"/>
      </w:pPr>
      <w:r>
        <w:br/>
        <w:t>04_mapeo_preguntas_norma_gqm.md</w:t>
        <w:br/>
        <w:t xml:space="preserve">   Mapeo entre objetivos GQM, bloques de la encuesta e ISO 27001/27004/NIS2.</w:t>
        <w:br/>
      </w:r>
    </w:p>
    <w:p>
      <w:pPr>
        <w:pStyle w:val="ListNumber"/>
        <w:keepLines w:val="1"/>
        <w:keepNext w:val="1"/>
        <w:widowControl w:val="1"/>
      </w:pPr>
      <w:r>
        <w:br/>
        <w:t>05_plantilla_excel_igm_roi_gqm.md</w:t>
        <w:br/>
        <w:t xml:space="preserve">   Guía para estructurar la hoja de cálculo que calcula IGM y ROI utilizando el marco GQM + PRAGMATIC.</w:t>
        <w:br/>
      </w:r>
    </w:p>
    <w:p>
      <w:pPr>
        <w:pStyle w:val="ListNumber"/>
        <w:keepLines w:val="1"/>
        <w:keepNext w:val="1"/>
        <w:widowControl w:val="1"/>
      </w:pPr>
      <w:r>
        <w:br/>
        <w:t>06_plantilla_reporte_ejecutivo_gqm.md</w:t>
        <w:br/>
        <w:t xml:space="preserve">   Guion para la presentación ejecutiva de resultados.</w:t>
        <w:br/>
      </w:r>
    </w:p>
    <w:p>
      <w:pPr>
        <w:pStyle w:val="ListNumber"/>
        <w:keepLines w:val="1"/>
        <w:widowControl w:val="1"/>
      </w:pPr>
      <w:r>
        <w:br/>
        <w:t>07_README_kit_gqm_pragmatic.md</w:t>
        <w:br/>
        <w:t xml:space="preserve">   Este README.</w:t>
        <w:br/>
      </w:r>
    </w:p>
    <w:p>
      <w:r>
        <w:rPr>
          <w:rFonts w:ascii="Courier New" w:hAnsi="Courier New"/>
          <w:sz w:val="18"/>
        </w:rPr>
        <w:t>01_marco_gqm_pragmatic.md</w:t>
      </w:r>
      <w:r/>
      <w:r>
        <w:br/>
        <w:t xml:space="preserve">   Describe el marco integrativo GQM + PRAGMATIC aplicado a indicadores ISO 27001.</w:t>
      </w:r>
    </w:p>
    <w:p>
      <w:r>
        <w:rPr>
          <w:rFonts w:ascii="Courier New" w:hAnsi="Courier New"/>
          <w:sz w:val="18"/>
        </w:rPr>
        <w:t>02_matriz_pragmatic_completa.md</w:t>
      </w:r>
      <w:r/>
      <w:r>
        <w:br/>
        <w:t xml:space="preserve">   Tabla con las métricas principales y su puntuación PRAGMATIC sugerida.</w:t>
      </w:r>
    </w:p>
    <w:p>
      <w:r>
        <w:rPr>
          <w:rFonts w:ascii="Courier New" w:hAnsi="Courier New"/>
          <w:sz w:val="18"/>
        </w:rPr>
        <w:t>03_narrativa_gqm_pragmatic.md</w:t>
      </w:r>
      <w:r/>
      <w:r>
        <w:br/>
        <w:t xml:space="preserve">   Narrativa que explica, en lenguaje humano, por qué y cómo se usan GQM y PRAGMATIC.</w:t>
      </w:r>
    </w:p>
    <w:p>
      <w:r>
        <w:rPr>
          <w:rFonts w:ascii="Courier New" w:hAnsi="Courier New"/>
          <w:sz w:val="18"/>
        </w:rPr>
        <w:t>04_mapeo_preguntas_norma_gqm.md</w:t>
      </w:r>
      <w:r/>
      <w:r>
        <w:br/>
        <w:t xml:space="preserve">   Mapeo entre objetivos GQM, bloques de la encuesta e ISO 27001/27004/NIS2.</w:t>
      </w:r>
    </w:p>
    <w:p>
      <w:r>
        <w:rPr>
          <w:rFonts w:ascii="Courier New" w:hAnsi="Courier New"/>
          <w:sz w:val="18"/>
        </w:rPr>
        <w:t>05_plantilla_excel_igm_roi_gqm.md</w:t>
      </w:r>
      <w:r/>
      <w:r>
        <w:br/>
        <w:t xml:space="preserve">   Guía para estructurar la hoja de cálculo que calcula IGM y ROI utilizando el marco GQM + PRAGMATIC.</w:t>
      </w:r>
    </w:p>
    <w:p>
      <w:r>
        <w:rPr>
          <w:rFonts w:ascii="Courier New" w:hAnsi="Courier New"/>
          <w:sz w:val="18"/>
        </w:rPr>
        <w:t>06_plantilla_reporte_ejecutivo_gqm.md</w:t>
      </w:r>
      <w:r/>
      <w:r>
        <w:br/>
        <w:t xml:space="preserve">   Guion para la presentación ejecutiva de resultados.</w:t>
      </w:r>
    </w:p>
    <w:p>
      <w:r>
        <w:rPr>
          <w:rFonts w:ascii="Courier New" w:hAnsi="Courier New"/>
          <w:sz w:val="18"/>
        </w:rPr>
        <w:t>07_README_kit_gqm_pragmatic.md</w:t>
      </w:r>
      <w:r/>
      <w:r>
        <w:br/>
        <w:t xml:space="preserve">   Este README.</w:t>
      </w:r>
    </w:p>
    <w:p>
      <w:pPr>
        <w:pStyle w:val="Heading2"/>
        <w:keepNext/>
        <w:keepLines/>
      </w:pPr>
      <w:r>
        <w:rPr>
          <w:color w:val="0066CC"/>
        </w:rPr>
        <w:t>3. Cómo usarlo en tres pasos</w:t>
      </w:r>
    </w:p>
    <w:p>
      <w:pPr>
        <w:pStyle w:val="ListNumber"/>
        <w:keepLines w:val="1"/>
        <w:keepNext w:val="1"/>
        <w:widowControl w:val="1"/>
      </w:pPr>
      <w:r>
        <w:t xml:space="preserve">Diseñar/ajustar la encuesta y el catálogo de métricas </w:t>
      </w:r>
    </w:p>
    <w:p>
      <w:pPr>
        <w:pStyle w:val="ListNumber"/>
        <w:keepLines w:val="1"/>
        <w:keepNext w:val="1"/>
        <w:widowControl w:val="1"/>
      </w:pPr>
      <w:r>
        <w:t xml:space="preserve">Partir del cuestionario ISO 27001 ya definido.  </w:t>
      </w:r>
    </w:p>
    <w:p>
      <w:pPr>
        <w:pStyle w:val="ListNumber"/>
        <w:keepLines w:val="1"/>
        <w:keepNext w:val="1"/>
        <w:widowControl w:val="1"/>
      </w:pPr>
      <w:r>
        <w:t xml:space="preserve">Seleccionar un subconjunto de métricas clave (M‑*) alineadas con objetivos GQM.  </w:t>
      </w:r>
    </w:p>
    <w:p>
      <w:pPr>
        <w:pStyle w:val="ListNumber"/>
        <w:keepLines w:val="1"/>
        <w:keepNext w:val="1"/>
        <w:widowControl w:val="1"/>
      </w:pPr>
      <w:r>
        <w:br/>
        <w:t>Revisar su puntuación PRAGMATIC y ajustar o descartar las que suspendan claramente.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Recoger datos y calcular subíndices e IGM </w:t>
        <w:br/>
      </w:r>
    </w:p>
    <w:p>
      <w:pPr>
        <w:pStyle w:val="ListNumber"/>
        <w:keepLines w:val="1"/>
        <w:keepNext w:val="1"/>
        <w:widowControl w:val="1"/>
      </w:pPr>
      <w:r>
        <w:t xml:space="preserve">Volcar respuestas y datos técnicos en la hoja de cálculo.  </w:t>
      </w:r>
    </w:p>
    <w:p>
      <w:pPr>
        <w:pStyle w:val="ListNumber"/>
        <w:keepLines w:val="1"/>
        <w:keepNext w:val="1"/>
        <w:widowControl w:val="1"/>
      </w:pPr>
      <w:r>
        <w:t xml:space="preserve">Calcular subíndices por objetivo GQM y el IGM global.  </w:t>
      </w:r>
    </w:p>
    <w:p>
      <w:pPr>
        <w:pStyle w:val="ListNumber"/>
        <w:keepLines w:val="1"/>
        <w:keepNext w:val="1"/>
        <w:widowControl w:val="1"/>
      </w:pPr>
      <w:r>
        <w:br/>
        <w:t>Revisar la contribución de cada métrica basada en su peso PRAGMATIC.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Comunicar y decidir </w:t>
        <w:br/>
      </w:r>
    </w:p>
    <w:p>
      <w:pPr>
        <w:pStyle w:val="ListNumber"/>
        <w:keepLines w:val="1"/>
        <w:keepNext w:val="1"/>
        <w:widowControl w:val="1"/>
      </w:pPr>
      <w:r>
        <w:t xml:space="preserve">Preparar el reporte ejecutivo.  </w:t>
      </w:r>
    </w:p>
    <w:p>
      <w:pPr>
        <w:pStyle w:val="ListNumber"/>
        <w:keepLines w:val="1"/>
        <w:keepNext w:val="1"/>
        <w:widowControl w:val="1"/>
      </w:pPr>
      <w:r>
        <w:t xml:space="preserve">Presentar resultados y, sobre todo, las prioridades de mejora.  </w:t>
      </w:r>
    </w:p>
    <w:p>
      <w:pPr>
        <w:pStyle w:val="ListNumber"/>
        <w:keepLines w:val="1"/>
        <w:widowControl w:val="1"/>
      </w:pPr>
      <w:r>
        <w:t>Definir un plan de acción y revisarlo periódicamente.</w:t>
      </w:r>
    </w:p>
    <w:p>
      <w:r>
        <w:t>Revisar su puntuación PRAGMATIC y ajustar o descartar las que suspendan claramente.</w:t>
      </w:r>
    </w:p>
    <w:p>
      <w:r>
        <w:rPr>
          <w:b/>
        </w:rPr>
        <w:t>Recoger datos y calcular subíndices e IGM</w:t>
      </w:r>
      <w:r>
        <w:t xml:space="preserve"> </w:t>
      </w:r>
    </w:p>
    <w:p>
      <w:r>
        <w:t>Revisar la contribución de cada métrica basada en su peso PRAGMATIC.</w:t>
      </w:r>
    </w:p>
    <w:p>
      <w:r>
        <w:rPr>
          <w:b/>
        </w:rPr>
        <w:t>Comunicar y decidir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Buenas prácticas sugeridas</w:t>
      </w:r>
    </w:p>
    <w:p>
      <w:pPr>
        <w:pStyle w:val="ListBullet"/>
        <w:keepLines w:val="1"/>
        <w:keepNext w:val="1"/>
        <w:widowControl w:val="1"/>
      </w:pPr>
      <w:r>
        <w:t xml:space="preserve">Mantener un catálogo compacto de métricas: mejor 20 buenas que 80 olvidadas.  </w:t>
      </w:r>
    </w:p>
    <w:p>
      <w:pPr>
        <w:pStyle w:val="ListBullet"/>
        <w:keepLines w:val="1"/>
        <w:keepNext w:val="1"/>
        <w:widowControl w:val="1"/>
      </w:pPr>
      <w:r>
        <w:t xml:space="preserve">Revisar periódicamente las puntuaciones PRAGMATIC: las métricas envejecen, el contexto cambia.  </w:t>
      </w:r>
    </w:p>
    <w:p>
      <w:pPr>
        <w:pStyle w:val="ListBullet"/>
        <w:keepLines w:val="1"/>
        <w:keepNext w:val="1"/>
        <w:widowControl w:val="1"/>
      </w:pPr>
      <w:r>
        <w:t xml:space="preserve">Documentar la cadena GQM: para cada métrica clave, dejar claro a qué objetivo sirve y qué pregunta responde.  </w:t>
      </w:r>
    </w:p>
    <w:p>
      <w:pPr>
        <w:pStyle w:val="ListBullet"/>
        <w:keepLines w:val="1"/>
        <w:widowControl w:val="1"/>
      </w:pPr>
      <w:r>
        <w:t>Usar los resultados para quitar métricas inútiles, no solo para añadir más.</w:t>
      </w:r>
    </w:p>
    <w:p>
      <w:pPr>
        <w:pStyle w:val="Heading2"/>
        <w:keepNext/>
        <w:keepLines/>
      </w:pPr>
      <w:r>
        <w:rPr>
          <w:color w:val="0066CC"/>
        </w:rPr>
        <w:t>5. Evolución del kit</w:t>
      </w:r>
    </w:p>
    <w:p>
      <w:r>
        <w:t>Este kit está pensado para evolucionar con:</w:t>
      </w:r>
    </w:p>
    <w:p>
      <w:pPr>
        <w:pStyle w:val="ListBullet"/>
        <w:keepLines w:val="1"/>
        <w:keepNext w:val="1"/>
        <w:widowControl w:val="1"/>
      </w:pPr>
      <w:r>
        <w:t xml:space="preserve">Nuevas versiones de estándares (ISO, NIS2, etc.).  </w:t>
      </w:r>
    </w:p>
    <w:p>
      <w:pPr>
        <w:pStyle w:val="ListBullet"/>
        <w:keepLines w:val="1"/>
        <w:keepNext w:val="1"/>
        <w:widowControl w:val="1"/>
      </w:pPr>
      <w:r>
        <w:t xml:space="preserve">Cambios en las prioridades nacionales y sectoriales (por ejemplo, foco en OT, resiliencia de cadenas de suministro).  </w:t>
      </w:r>
    </w:p>
    <w:p>
      <w:pPr>
        <w:pStyle w:val="ListBullet"/>
        <w:keepLines w:val="1"/>
        <w:widowControl w:val="1"/>
      </w:pPr>
      <w:r>
        <w:t>Lecciones aprendidas de su aplicación en organizaciones reales.</w:t>
      </w:r>
    </w:p>
    <w:p>
      <w:r>
        <w:t>Si con el tiempo descubres que algunos indicadores apenas miran la luz y otros se convierten en referencias habituales en comités de dirección, ya tienes una pista clara de qué conservar y qué jubilar con honores.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