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Narrativa Explicativa</w:t>
      </w:r>
    </w:p>
    <w:p>
      <w:pPr>
        <w:pStyle w:val="Heading2"/>
        <w:keepNext/>
        <w:keepLines/>
      </w:pPr>
      <w:r>
        <w:rPr>
          <w:color w:val="0066CC"/>
        </w:rPr>
        <w:t>Por qué esta encuesta TIBER‑EU / TIBER‑ES merece su tiempo</w:t>
      </w:r>
    </w:p>
    <w:p>
      <w:pPr>
        <w:pStyle w:val="Heading2"/>
        <w:keepNext/>
        <w:keepLines/>
      </w:pPr>
      <w:r>
        <w:rPr>
          <w:color w:val="0066CC"/>
        </w:rPr>
        <w:t>1. Una breve historia de pruebas, sustos y métricas</w:t>
      </w:r>
    </w:p>
    <w:p>
      <w:r>
        <w:t xml:space="preserve">En un mundo ideal, la ciberresiliencia sería una virtud natural: los sistemas se defenderían solos, los atacantes se aburrirían y el CISO podría dedicar sus tardes a la filosofía de la ciencia. La realidad es un poco menos idílica: amenazas avanzadas, cadenas de suministro frágiles y un ecosistema regulatorio que, con DORA y TIBER‑EU, ha decidido que ya no basta con “tener controles”, sino que hay que </w:t>
      </w:r>
      <w:r>
        <w:rPr>
          <w:b/>
        </w:rPr>
        <w:t>probarlos en serio</w:t>
      </w:r>
      <w:r>
        <w:t>.</w:t>
      </w:r>
    </w:p>
    <w:p>
      <w:r>
        <w:t>Aquí entra TIBER‑EU y, en España, TIBER‑ES: un marco que propone pruebas de Red Team basadas en inteligencia de amenazas realista, ejecutadas sobre sistemas de producción y con la mirada atenta de supervisores y autoridades.</w:t>
      </w:r>
    </w:p>
    <w:p>
      <w:r>
        <w:t>La encuesta que se le propone no es un capricho estadístico, sino un intento de capturar de forma estructurada lo que estas pruebas están cambiando (o podrían cambiar) en las organizaciones.</w:t>
      </w:r>
    </w:p>
    <w:p>
      <w:pPr>
        <w:pStyle w:val="Heading2"/>
        <w:keepNext/>
        <w:keepLines/>
      </w:pPr>
      <w:r>
        <w:rPr>
          <w:color w:val="0066CC"/>
        </w:rPr>
        <w:t>2. De la anécdota al dato</w:t>
      </w:r>
    </w:p>
    <w:p>
      <w:r>
        <w:t>Quien haya vivido un buen ejercicio TIBER sabe que genera anécdotas memorables:</w:t>
      </w:r>
      <w:r/>
      <w:r>
        <w:br/>
        <w:t>esa credencial privilegiada que no debía existir, ese log que nadie miraba, ese tercer proveedor que se convirtió en protagonista inesperado.</w:t>
      </w:r>
    </w:p>
    <w:p>
      <w:r>
        <w:t>El problema es que, sin métricas, todo se queda en anécdota, y las anécdotas envejecen mal en los comités de inversión.</w:t>
      </w:r>
    </w:p>
    <w:p>
      <w:r>
        <w:t>Esta encuesta pretende:</w:t>
      </w:r>
    </w:p>
    <w:p>
      <w:pPr>
        <w:pStyle w:val="ListBullet"/>
        <w:keepLines w:val="1"/>
        <w:keepNext w:val="1"/>
        <w:widowControl w:val="1"/>
      </w:pPr>
      <w:r>
        <w:t xml:space="preserve">Convertir esas historias en indicadores comparables (MTTD, MTTR, cobertura de CIFs, porcentaje de remediación, etc.).  </w:t>
      </w:r>
    </w:p>
    <w:p>
      <w:pPr>
        <w:pStyle w:val="ListBullet"/>
        <w:keepLines w:val="1"/>
        <w:keepNext w:val="1"/>
        <w:widowControl w:val="1"/>
      </w:pPr>
      <w:r>
        <w:t xml:space="preserve">Permitir a cada entidad situarse en un mapa de madurez sectorial.  </w:t>
      </w:r>
    </w:p>
    <w:p>
      <w:pPr>
        <w:pStyle w:val="ListBullet"/>
        <w:keepLines w:val="1"/>
        <w:widowControl w:val="1"/>
      </w:pPr>
      <w:r>
        <w:t>Dar a supervisores y policymakers una visión menos romántica y más accionable del estado real de la ciberresiliencia.</w:t>
      </w:r>
    </w:p>
    <w:p>
      <w:pPr>
        <w:pStyle w:val="Heading2"/>
        <w:keepNext/>
        <w:keepLines/>
      </w:pPr>
      <w:r>
        <w:rPr>
          <w:color w:val="0066CC"/>
        </w:rPr>
        <w:t>3. ¿Por qué TIBER‑EU es un buen pretexto para hablar en serio?</w:t>
      </w:r>
    </w:p>
    <w:p>
      <w:r>
        <w:t xml:space="preserve">TIBER‑EU, en su versión 2025, y TIBER‑ES ofrecen una virtud poco frecuente en los marcos de ciberseguridad: obligan a confrontar a la organización con </w:t>
      </w:r>
      <w:r>
        <w:rPr>
          <w:b/>
        </w:rPr>
        <w:t>ataques plausibles</w:t>
      </w:r>
      <w:r>
        <w:t>, no solo con checklists.</w:t>
      </w:r>
    </w:p>
    <w:p>
      <w:pPr>
        <w:pStyle w:val="ListBullet"/>
        <w:keepLines w:val="1"/>
        <w:keepNext w:val="1"/>
        <w:widowControl w:val="1"/>
      </w:pPr>
      <w:r>
        <w:t xml:space="preserve">Tienen una noción clara de función crítica o importante (CIF).  </w:t>
      </w:r>
    </w:p>
    <w:p>
      <w:pPr>
        <w:pStyle w:val="ListBullet"/>
        <w:keepLines w:val="1"/>
        <w:keepNext w:val="1"/>
        <w:widowControl w:val="1"/>
      </w:pPr>
      <w:r>
        <w:t xml:space="preserve">Piden usar inteligencia específica (TTIR).  </w:t>
      </w:r>
    </w:p>
    <w:p>
      <w:pPr>
        <w:pStyle w:val="ListBullet"/>
        <w:keepLines w:val="1"/>
        <w:widowControl w:val="1"/>
      </w:pPr>
      <w:r>
        <w:t>Alinean los ejercicios con DORA y su régimen de pruebas TLPT.</w:t>
      </w:r>
    </w:p>
    <w:p>
      <w:r>
        <w:t>Esta encuesta utiliza esa estructura como columna vertebral:</w:t>
      </w:r>
    </w:p>
    <w:p>
      <w:pPr>
        <w:pStyle w:val="ListBullet"/>
        <w:keepLines w:val="1"/>
        <w:keepNext w:val="1"/>
        <w:widowControl w:val="1"/>
      </w:pPr>
      <w:r>
        <w:t xml:space="preserve">Gobernanza y CIFs: ¿sabemos realmente qué es crítico para nosotros?  </w:t>
      </w:r>
    </w:p>
    <w:p>
      <w:pPr>
        <w:pStyle w:val="ListBullet"/>
        <w:keepLines w:val="1"/>
        <w:keepNext w:val="1"/>
        <w:widowControl w:val="1"/>
      </w:pPr>
      <w:r>
        <w:t xml:space="preserve">Inteligencia: ¿nuestros escenarios se basan en amenazas reales o en creatividad literaria?  </w:t>
      </w:r>
    </w:p>
    <w:p>
      <w:pPr>
        <w:pStyle w:val="ListBullet"/>
        <w:keepLines w:val="1"/>
        <w:keepNext w:val="1"/>
        <w:widowControl w:val="1"/>
      </w:pPr>
      <w:r>
        <w:t xml:space="preserve">Red Team / Blue Team / Purple Team: ¿cómo reaccionamos cuando alguien nos ataca “de verdad”, con permiso por escrito?  </w:t>
      </w:r>
    </w:p>
    <w:p>
      <w:pPr>
        <w:pStyle w:val="ListBullet"/>
        <w:keepLines w:val="1"/>
        <w:widowControl w:val="1"/>
      </w:pPr>
      <w:r>
        <w:t>Remediación y aprendizaje: ¿qué queda en pie cuando el humo de las presentaciones desaparece?</w:t>
      </w:r>
    </w:p>
    <w:p>
      <w:pPr>
        <w:pStyle w:val="Heading2"/>
        <w:keepNext/>
        <w:keepLines/>
      </w:pPr>
      <w:r>
        <w:rPr>
          <w:color w:val="0066CC"/>
        </w:rPr>
        <w:t>4. Ironía, pero con cariño</w:t>
      </w:r>
    </w:p>
    <w:p>
      <w:r>
        <w:t>El tono de algunas preguntas y opciones de respuesta puede parecer ligeramente irónico. No es un accidente. Está pensado para:</w:t>
      </w:r>
    </w:p>
    <w:p>
      <w:pPr>
        <w:pStyle w:val="ListBullet"/>
        <w:keepLines w:val="1"/>
        <w:keepNext w:val="1"/>
        <w:widowControl w:val="1"/>
      </w:pPr>
      <w:r>
        <w:t xml:space="preserve">Romper la inercia del “todo está razonablemente controlado”,  </w:t>
      </w:r>
    </w:p>
    <w:p>
      <w:pPr>
        <w:pStyle w:val="ListBullet"/>
        <w:keepLines w:val="1"/>
        <w:keepNext w:val="1"/>
        <w:widowControl w:val="1"/>
      </w:pPr>
      <w:r>
        <w:t xml:space="preserve">Invitar a una reflexión honesta (nadie es perfecto; casi todos tenemos MTTDs que preferiríamos no ver impresos),  </w:t>
      </w:r>
    </w:p>
    <w:p>
      <w:pPr>
        <w:pStyle w:val="ListBullet"/>
        <w:keepLines w:val="1"/>
        <w:widowControl w:val="1"/>
      </w:pPr>
      <w:r>
        <w:t>Hacer visible la diferencia entre lo que la documentación dice y lo que el día a día permite.</w:t>
      </w:r>
    </w:p>
    <w:p>
      <w:r>
        <w:t>La ironía, bien usada, es una forma de respeto: presupone que el interlocutor es capaz de reconocer matices y de reírse de sí mismo mientras mejora.</w:t>
      </w:r>
    </w:p>
    <w:p>
      <w:pPr>
        <w:pStyle w:val="Heading2"/>
        <w:keepNext/>
        <w:keepLines/>
      </w:pPr>
      <w:r>
        <w:rPr>
          <w:color w:val="0066CC"/>
        </w:rPr>
        <w:t>5. Qué gana la entidad respondiendo con seriedad</w:t>
      </w:r>
    </w:p>
    <w:p>
      <w:r>
        <w:t>Responder la encuesta con rigor implica esfuerzo, pero ofrece varios retornos:</w:t>
      </w:r>
    </w:p>
    <w:p>
      <w:pPr>
        <w:pStyle w:val="ListBullet"/>
        <w:keepLines w:val="1"/>
        <w:keepNext w:val="1"/>
        <w:widowControl w:val="1"/>
      </w:pPr>
      <w:r>
        <w:t xml:space="preserve">Mapa interno de madurez: forzará a consolidar información dispersa (SOC, TI, riesgos, continuidad) y a detectar huecos de datos.  </w:t>
      </w:r>
    </w:p>
    <w:p>
      <w:pPr>
        <w:pStyle w:val="ListBullet"/>
        <w:keepLines w:val="1"/>
        <w:keepNext w:val="1"/>
        <w:widowControl w:val="1"/>
      </w:pPr>
      <w:r>
        <w:t xml:space="preserve">Argumentos ante el Consejo: los resultados (especialmente si se comparan con el sector) permiten sostener conversaciones menos defensivas y más estratégicas.  </w:t>
      </w:r>
    </w:p>
    <w:p>
      <w:pPr>
        <w:pStyle w:val="ListBullet"/>
        <w:keepLines w:val="1"/>
        <w:widowControl w:val="1"/>
      </w:pPr>
      <w:r>
        <w:t xml:space="preserve">Palanca para priorizar inversiones: vincular hallazgos TIBER con proyectos, presupuestos y expectativas de ROI.  </w:t>
      </w:r>
    </w:p>
    <w:p>
      <w:r>
        <w:t xml:space="preserve">En un contexto donde DORA y los supervisores miran cada vez más a la capacidad de </w:t>
      </w:r>
      <w:r>
        <w:rPr>
          <w:b/>
        </w:rPr>
        <w:t>operar bajo ataque</w:t>
      </w:r>
      <w:r>
        <w:t>, poder mostrar que se ha medido, comparado y aprendido cuenta más que una colección de políticas.</w:t>
      </w:r>
    </w:p>
    <w:p>
      <w:pPr>
        <w:pStyle w:val="Heading2"/>
        <w:keepNext/>
        <w:keepLines/>
      </w:pPr>
      <w:r>
        <w:rPr>
          <w:color w:val="0066CC"/>
        </w:rPr>
        <w:t>6. Qué gana el sector y el regulador</w:t>
      </w:r>
    </w:p>
    <w:p>
      <w:r>
        <w:t>A nivel agregado, los datos de la encuesta permitirán:</w:t>
      </w:r>
    </w:p>
    <w:p>
      <w:pPr>
        <w:pStyle w:val="ListBullet"/>
        <w:keepLines w:val="1"/>
        <w:keepNext w:val="1"/>
        <w:widowControl w:val="1"/>
      </w:pPr>
      <w:r>
        <w:t xml:space="preserve">Identificar patrones: dónde está la mayor debilidad (detección, remediación, third‑parties, etc.).  </w:t>
      </w:r>
    </w:p>
    <w:p>
      <w:pPr>
        <w:pStyle w:val="ListBullet"/>
        <w:keepLines w:val="1"/>
        <w:keepNext w:val="1"/>
        <w:widowControl w:val="1"/>
      </w:pPr>
      <w:r>
        <w:t xml:space="preserve">Detectar buenas prácticas replicables entre entidades.  </w:t>
      </w:r>
    </w:p>
    <w:p>
      <w:pPr>
        <w:pStyle w:val="ListBullet"/>
        <w:keepLines w:val="1"/>
        <w:widowControl w:val="1"/>
      </w:pPr>
      <w:r>
        <w:t xml:space="preserve">Afinar la regulación y la supervisión, basándolas en evidencias, no solo en intuiciones o incidentes mediáticos.  </w:t>
      </w:r>
    </w:p>
    <w:p>
      <w:r>
        <w:t>Es, en cierto modo, una epidemiología de la ciberresiliencia: se necesitan datos para tratar al paciente sistema financiero, no solo síntomas aislados.</w:t>
      </w:r>
    </w:p>
    <w:p>
      <w:pPr>
        <w:pStyle w:val="Heading2"/>
        <w:keepNext/>
        <w:keepLines/>
      </w:pPr>
      <w:r>
        <w:rPr>
          <w:color w:val="0066CC"/>
        </w:rPr>
        <w:t>7. ¿Y si los resultados no son halagüeños?</w:t>
      </w:r>
    </w:p>
    <w:p>
      <w:r>
        <w:t>Es posible que la encuesta revele que muchas entidades:</w:t>
      </w:r>
    </w:p>
    <w:p>
      <w:pPr>
        <w:pStyle w:val="ListBullet"/>
        <w:keepLines w:val="1"/>
        <w:keepNext w:val="1"/>
        <w:widowControl w:val="1"/>
      </w:pPr>
      <w:r>
        <w:t xml:space="preserve">No han cubierto aún todas sus CIFs.  </w:t>
      </w:r>
    </w:p>
    <w:p>
      <w:pPr>
        <w:pStyle w:val="ListBullet"/>
        <w:keepLines w:val="1"/>
        <w:keepNext w:val="1"/>
        <w:widowControl w:val="1"/>
      </w:pPr>
      <w:r>
        <w:t xml:space="preserve">No han integrado bien el TTIR en su gestión diaria.  </w:t>
      </w:r>
    </w:p>
    <w:p>
      <w:pPr>
        <w:pStyle w:val="ListBullet"/>
        <w:keepLines w:val="1"/>
        <w:keepNext w:val="1"/>
        <w:widowControl w:val="1"/>
      </w:pPr>
      <w:r>
        <w:t xml:space="preserve">No miden sistemáticamente MTTD/MTTR.  </w:t>
      </w:r>
    </w:p>
    <w:p>
      <w:pPr>
        <w:pStyle w:val="ListBullet"/>
        <w:keepLines w:val="1"/>
        <w:widowControl w:val="1"/>
      </w:pPr>
      <w:r>
        <w:t>No han cerrado todas las recomendaciones críticas.</w:t>
      </w:r>
    </w:p>
    <w:p>
      <w:r>
        <w:t>Lejos de ser un drama, eso es un buen punto de partida honesto. El verdadero problema es no saberlo.</w:t>
      </w:r>
    </w:p>
    <w:p>
      <w:r>
        <w:t>Además, los resultados pueden usarse de forma:</w:t>
      </w:r>
    </w:p>
    <w:p>
      <w:pPr>
        <w:pStyle w:val="ListBullet"/>
        <w:keepLines w:val="1"/>
        <w:keepNext w:val="1"/>
        <w:widowControl w:val="1"/>
      </w:pPr>
      <w:r>
        <w:t xml:space="preserve">Anonimizada: nadie necesita exponer a la plaza pública las vergüenzas concretas de cada entidad.  </w:t>
      </w:r>
    </w:p>
    <w:p>
      <w:pPr>
        <w:pStyle w:val="ListBullet"/>
        <w:keepLines w:val="1"/>
        <w:widowControl w:val="1"/>
      </w:pPr>
      <w:r>
        <w:t>Narrativa: combinando datos duros con historias de éxito y fracaso que permitan aprender sin señalar con el dedo.</w:t>
      </w:r>
    </w:p>
    <w:p>
      <w:pPr>
        <w:pStyle w:val="Heading2"/>
        <w:keepNext/>
        <w:keepLines/>
      </w:pPr>
      <w:r>
        <w:rPr>
          <w:color w:val="0066CC"/>
        </w:rPr>
        <w:t>8. Cierre: una invitación</w:t>
      </w:r>
    </w:p>
    <w:p>
      <w:r>
        <w:t>Esta encuesta no va a resolver por sí sola los problemas de ciberresiliencia del país. Pero puede:</w:t>
      </w:r>
    </w:p>
    <w:p>
      <w:pPr>
        <w:pStyle w:val="ListBullet"/>
        <w:keepLines w:val="1"/>
        <w:keepNext w:val="1"/>
        <w:widowControl w:val="1"/>
      </w:pPr>
      <w:r>
        <w:t xml:space="preserve">Hacer visible lo que ahora es tácito.  </w:t>
      </w:r>
    </w:p>
    <w:p>
      <w:pPr>
        <w:pStyle w:val="ListBullet"/>
        <w:keepLines w:val="1"/>
        <w:keepNext w:val="1"/>
        <w:widowControl w:val="1"/>
      </w:pPr>
      <w:r>
        <w:t xml:space="preserve">Generar un lenguaje común entre CISOs, reguladores y negocio.  </w:t>
      </w:r>
    </w:p>
    <w:p>
      <w:pPr>
        <w:pStyle w:val="ListBullet"/>
        <w:keepLines w:val="1"/>
        <w:widowControl w:val="1"/>
      </w:pPr>
      <w:r>
        <w:t>Ayudar a que las próximas iteraciones de TIBER‑ES sean menos heroicas y más sistemáticas.</w:t>
      </w:r>
    </w:p>
    <w:p>
      <w:r>
        <w:t>Si al terminar de responder siente que ha tenido que hablar con áreas con las que no hablaba lo suficiente, que ha descubierto datos que nadie consolidaba o que ha podido poner números a intuiciones antiguas, entonces el ejercicio habrá merecido la pena.</w:t>
      </w:r>
    </w:p>
    <w:p>
      <w:r>
        <w:t>Y si además los resultados se convierten en un gráfico que convence a alguien de aprobar un proyecto largamente esperado, mejor aún.</w:t>
      </w:r>
    </w:p>
    <w:p>
      <w:r>
        <w:rPr>
          <w:i/>
        </w:rPr>
        <w:t>Fin de la Narrativa Explicativa.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