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</w:t>
      </w:r>
    </w:p>
    <w:p>
      <w:pPr>
        <w:pStyle w:val="Heading2"/>
        <w:keepNext/>
        <w:keepLines/>
      </w:pPr>
      <w:r>
        <w:rPr>
          <w:color w:val="0066CC"/>
        </w:rPr>
        <w:t>Encuesta TIBER‑EU / TIBER‑ES – DORA/TLPT</w:t>
      </w:r>
    </w:p>
    <w:p>
      <w:r>
        <w:t>Nota: las referencias son indicativas y deberán ajustarse a la versión vigente de los textos oficiales (TIBER‑EU Framework 2025, Guía de Implementación TIBER‑ES, RTS DORA sobre TLPT).</w:t>
      </w:r>
    </w:p>
    <w:p>
      <w:pPr>
        <w:pStyle w:val="Heading2"/>
        <w:keepNext/>
        <w:keepLines/>
      </w:pPr>
      <w:r>
        <w:rPr>
          <w:color w:val="0066CC"/>
        </w:rPr>
        <w:t>1. Leyenda de columnas</w:t>
      </w:r>
    </w:p>
    <w:p>
      <w:pPr>
        <w:pStyle w:val="ListBullet"/>
        <w:keepLines w:val="1"/>
        <w:keepNext w:val="1"/>
        <w:widowControl w:val="1"/>
      </w:pPr>
      <w:r>
        <w:t xml:space="preserve">ID: identificador interno de la pregunta de la encuesta.  </w:t>
      </w:r>
    </w:p>
    <w:p>
      <w:pPr>
        <w:pStyle w:val="ListBullet"/>
        <w:keepLines w:val="1"/>
        <w:keepNext w:val="1"/>
        <w:widowControl w:val="1"/>
      </w:pPr>
      <w:r>
        <w:t xml:space="preserve">Bloque: sección temática del cuestionario.  </w:t>
      </w:r>
    </w:p>
    <w:p>
      <w:pPr>
        <w:pStyle w:val="ListBullet"/>
        <w:keepLines w:val="1"/>
        <w:keepNext w:val="1"/>
        <w:widowControl w:val="1"/>
      </w:pPr>
      <w:r>
        <w:t xml:space="preserve">Pregunta (resumen): descripción abreviada.  </w:t>
      </w:r>
    </w:p>
    <w:p>
      <w:pPr>
        <w:pStyle w:val="ListBullet"/>
        <w:keepLines w:val="1"/>
        <w:keepNext w:val="1"/>
        <w:widowControl w:val="1"/>
      </w:pPr>
      <w:r>
        <w:t xml:space="preserve">TIBER‑EU 2025: referencia de capítulo/apartado.  </w:t>
      </w:r>
    </w:p>
    <w:p>
      <w:pPr>
        <w:pStyle w:val="ListBullet"/>
        <w:keepLines w:val="1"/>
        <w:keepNext w:val="1"/>
        <w:widowControl w:val="1"/>
      </w:pPr>
      <w:r>
        <w:t xml:space="preserve">TIBER‑ES: referencia aproximada en la Guía de Implementación.  </w:t>
      </w:r>
    </w:p>
    <w:p>
      <w:pPr>
        <w:pStyle w:val="ListBullet"/>
        <w:keepLines w:val="1"/>
        <w:keepNext w:val="1"/>
        <w:widowControl w:val="1"/>
      </w:pPr>
      <w:r>
        <w:t xml:space="preserve">DORA/TLPT: artículo o apartado del RTS TLPT relacionado.  </w:t>
      </w:r>
    </w:p>
    <w:p>
      <w:pPr>
        <w:pStyle w:val="ListBullet"/>
        <w:keepLines w:val="1"/>
        <w:widowControl w:val="1"/>
      </w:pPr>
      <w:r>
        <w:t>Uso analítico: cómo se emplea la respuesta en indicadores/IGM.</w:t>
      </w:r>
    </w:p>
    <w:p>
      <w:pPr>
        <w:pStyle w:val="Heading2"/>
        <w:keepNext/>
        <w:keepLines/>
      </w:pPr>
      <w:r>
        <w:rPr>
          <w:color w:val="0066CC"/>
        </w:rPr>
        <w:t>2. Tabla de mapeo (extracto representativo)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(resumen)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TIBER‑EU 2025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TIBER‑ES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DORA/TLPT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analítico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Contexto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Tipo de entidad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Introd., sec. sobre participantes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1, ámbito de aplicación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ámbito subjetivo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Estratificación de muestra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Contexto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Sujeción a TIBER‑ES/TIBER‑XX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Introd., relación con TIBER‑XX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reconocimiento mutuo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Segmentación y análisis de adopción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Gobernanza/CIFs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Inventario formal de CIFs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CIFs y alcance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2 (identificación de funciones críticas)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sobre funciones críticas en 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Indicador de madurez GOV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Gobernanza/CIFs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Madurez proceso CIFs (0–5)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Subíndice GOV_CIF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Gobernanza/CIFs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BIA para CIFs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alineamiento con BIA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sobre identificación de funciones críticas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GOV_BIA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Gobernanza/CIFs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CIFs cubiertas por TIBER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alcance del test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3 (alcance)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cobertura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KPI sectorial de cobertura CIFs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Implicación del Consejo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de 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2 y 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– gobernanza del riesgo TIC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GOV_BOARD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Inteligencia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GTL sectorial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GTL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3 (ciberinteligencia)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inteligencia de amenazas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TI_GTL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Inteligencia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Origen TTIR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TTIR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proveedores TI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TI_ORIGEN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Inteligencia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Alineamiento TTIR amenazas reales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TTIR calidad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plausibilidad de escenarios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TI_AJUSTE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Inteligencia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Actualización TTIR durante test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iteración TI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actualización continua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TI_DINAMICA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Red Team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Tipo de RTT contratado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RTT y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4 (selección RTT)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requisitos de RT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RT_TIPO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Red Team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Escenarios previstos vs. ejecutados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de planificación y ejecución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planificación de pruebas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RT_CUMPL_PLAN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Red Team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banderas logradas sin leg‑ups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leg‑ups y control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efectividad de pruebas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RT_EFECTIVIDAD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Mediana MTTD escenarios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de resultados (reporting)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5 (informes)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resultados mínimos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BLUE_MTTD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Mediana MTTR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BLUE_MTTR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actividades detectadas en tiempo real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BLUE_DET_REAL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Purple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Realización de purple teaming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closure y learning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actividades post‑test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PRP_EXIST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Purple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Mejora MTTD tras purple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PRP_IMPACTO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Remediación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recomendaciones críticas implementadas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plan de acción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remediación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REM_CRIT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Remediación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recomendaciones altas implementadas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Idem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REM_ALTA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Proceso formal de lecciones aprendidas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learning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– gestión continua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GOV_LEARN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Cooperación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Pruebas multiparte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cross‑entity tests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pruebas coordinadas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COOP_MULTI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Reconocimiento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Reconocimiento entre autoridades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sobre TIBER‑XX y TKC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RTS TLPT – reconocimiento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COOP_RECONOC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KPIs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Cuadro de mando TIBER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Sec. reporting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 – monitorización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KPI_DASH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Estimación de ROI de TIBER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 específico, alineado con objetivos de resiliencia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 específico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Sin referencia directa, pero coherente con gestión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ROI_MAD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8.3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Percepción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Utilidad percibida de TIBER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General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General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General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Percepción global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de este mapeo</w:t>
      </w:r>
    </w:p>
    <w:p>
      <w:pPr>
        <w:pStyle w:val="ListBullet"/>
        <w:keepLines w:val="1"/>
        <w:keepNext w:val="1"/>
        <w:widowControl w:val="1"/>
      </w:pPr>
      <w:r>
        <w:t xml:space="preserve">Facilita demostrar a supervisores que la encuesta está alineada con marcos oficiales.  </w:t>
      </w:r>
    </w:p>
    <w:p>
      <w:pPr>
        <w:pStyle w:val="ListBullet"/>
        <w:keepLines w:val="1"/>
        <w:keepNext w:val="1"/>
        <w:widowControl w:val="1"/>
      </w:pPr>
      <w:r>
        <w:t xml:space="preserve">Permite actualizar rápidamente el cuestionario ante cambios normativos.  </w:t>
      </w:r>
    </w:p>
    <w:p>
      <w:pPr>
        <w:pStyle w:val="ListBullet"/>
        <w:keepLines w:val="1"/>
        <w:widowControl w:val="1"/>
      </w:pPr>
      <w:r>
        <w:t>Sirve para seleccionar subconjuntos de preguntas orientadas a, por ejemplo, DORA/TLPT o TIBER‑ES.</w:t>
      </w:r>
    </w:p>
    <w:p>
      <w:r>
        <w:rPr>
          <w:i/>
        </w:rPr>
        <w:t>Fin del Mapeo.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