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TIBER‑EU / TIBER‑ES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los siguientes componentes:</w:t>
      </w:r>
    </w:p>
    <w:p>
      <w:pPr>
        <w:pStyle w:val="ListBullet"/>
        <w:keepLines w:val="1"/>
        <w:keepNext w:val="1"/>
        <w:widowControl w:val="1"/>
      </w:pPr>
      <w:r>
        <w:t xml:space="preserve">a_modelo_encuesta.md – Cuestionario completo para responsables de entidades.  </w:t>
      </w:r>
    </w:p>
    <w:p>
      <w:pPr>
        <w:pStyle w:val="ListBullet"/>
        <w:keepLines w:val="1"/>
        <w:keepNext w:val="1"/>
        <w:widowControl w:val="1"/>
      </w:pPr>
      <w:r>
        <w:t xml:space="preserve">b_guia_metodologica.md – Instrucciones para diseño, despliegue y análisis.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c_narrativa_explicativa.md – Texto de acompañamiento para comunicar propósito y beneficios.  </w:t>
      </w:r>
    </w:p>
    <w:p>
      <w:pPr>
        <w:pStyle w:val="ListBullet"/>
        <w:keepLines w:val="1"/>
        <w:keepNext w:val="1"/>
        <w:widowControl w:val="1"/>
      </w:pPr>
      <w:r>
        <w:t xml:space="preserve">d_mapeo_preguntas_normativa.md – Relación detallada entre preguntas y marcos normativos.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e_plantilla_excel_igm_roi.md – Especificación para construir la hoja de cálculo de IGM y ROI.  </w:t>
      </w:r>
    </w:p>
    <w:p>
      <w:pPr>
        <w:pStyle w:val="ListBullet"/>
        <w:keepLines w:val="1"/>
        <w:widowControl w:val="1"/>
      </w:pPr>
      <w:r>
        <w:t xml:space="preserve">f_plantilla_reporte_ejecutivo.md – Guion de presentación de resultados.  </w:t>
      </w:r>
    </w:p>
    <w:p>
      <w:pPr>
        <w:pStyle w:val="Heading2"/>
        <w:keepNext/>
        <w:keepLines/>
      </w:pPr>
      <w:r>
        <w:rPr>
          <w:color w:val="0066CC"/>
        </w:rPr>
        <w:t>2. Flujo recomendado de uso</w:t>
      </w:r>
    </w:p>
    <w:p>
      <w:pPr>
        <w:pStyle w:val="ListNumber"/>
        <w:keepLines w:val="1"/>
        <w:keepNext w:val="1"/>
        <w:widowControl w:val="1"/>
      </w:pPr>
      <w:r>
        <w:t xml:space="preserve">Adaptación local </w:t>
      </w:r>
    </w:p>
    <w:p>
      <w:pPr>
        <w:pStyle w:val="ListNumber"/>
        <w:keepLines w:val="1"/>
        <w:keepNext w:val="1"/>
        <w:widowControl w:val="1"/>
      </w:pPr>
      <w:r>
        <w:t xml:space="preserve">Revisar el modelo de encuesta y ajustar terminología, referencias normativas y ejemplos a la realidad nacional/sectorial.  </w:t>
      </w:r>
    </w:p>
    <w:p>
      <w:pPr>
        <w:pStyle w:val="ListNumber"/>
        <w:keepLines w:val="1"/>
        <w:keepNext w:val="1"/>
        <w:widowControl w:val="1"/>
      </w:pPr>
      <w:r>
        <w:br/>
        <w:t>Actualizar el mapeo normativo si hay cambios en TIBER‑EU, TIBER‑ES o DORA.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Aprobación interna y con supervisores </w:t>
        <w:br/>
      </w:r>
    </w:p>
    <w:p>
      <w:pPr>
        <w:pStyle w:val="ListNumber"/>
        <w:keepLines w:val="1"/>
        <w:keepNext w:val="1"/>
        <w:widowControl w:val="1"/>
      </w:pPr>
      <w:r>
        <w:t xml:space="preserve">Presentar la narrativa explicativa y la guía metodológica a los organismos implicados (autoridad competente, asociaciones sectoriales, etc.).  </w:t>
      </w:r>
    </w:p>
    <w:p>
      <w:pPr>
        <w:pStyle w:val="ListNumber"/>
        <w:keepLines w:val="1"/>
        <w:keepNext w:val="1"/>
        <w:widowControl w:val="1"/>
      </w:pPr>
      <w:r>
        <w:br/>
        <w:t>Asegurar alineamiento con expectativas regulatorias y de confidencialidad.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Configuración de la plataforma de encuesta </w:t>
        <w:br/>
      </w:r>
    </w:p>
    <w:p>
      <w:pPr>
        <w:pStyle w:val="ListNumber"/>
        <w:keepLines w:val="1"/>
        <w:keepNext w:val="1"/>
        <w:widowControl w:val="1"/>
      </w:pPr>
      <w:r>
        <w:t xml:space="preserve">Implementar el cuestionario en una herramienta segura (online u offline).  </w:t>
      </w:r>
    </w:p>
    <w:p>
      <w:pPr>
        <w:pStyle w:val="ListNumber"/>
        <w:keepLines w:val="1"/>
        <w:keepNext w:val="1"/>
        <w:widowControl w:val="1"/>
      </w:pPr>
      <w:r>
        <w:br/>
        <w:t>Preparar identificadores de entidad y mecanismos de acceso.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Comunicación a las entidades </w:t>
        <w:br/>
      </w:r>
    </w:p>
    <w:p>
      <w:pPr>
        <w:pStyle w:val="ListNumber"/>
        <w:keepLines w:val="1"/>
        <w:keepNext w:val="1"/>
        <w:widowControl w:val="1"/>
      </w:pPr>
      <w:r>
        <w:t xml:space="preserve">Enviar la narrativa explicativa, destacando beneficios y uso de los datos.  </w:t>
      </w:r>
    </w:p>
    <w:p>
      <w:pPr>
        <w:pStyle w:val="ListNumber"/>
        <w:keepLines w:val="1"/>
        <w:keepNext w:val="1"/>
        <w:widowControl w:val="1"/>
      </w:pPr>
      <w:r>
        <w:br/>
        <w:t>Establecer plazos claros, puntos de contacto y canales de soporte.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Recogida de respuestas </w:t>
        <w:br/>
      </w:r>
    </w:p>
    <w:p>
      <w:pPr>
        <w:pStyle w:val="ListNumber"/>
        <w:keepLines w:val="1"/>
        <w:keepNext w:val="1"/>
        <w:widowControl w:val="1"/>
      </w:pPr>
      <w:r>
        <w:t xml:space="preserve">Monitorizar tasas de respuesta.  </w:t>
      </w:r>
    </w:p>
    <w:p>
      <w:pPr>
        <w:pStyle w:val="ListNumber"/>
        <w:keepLines w:val="1"/>
        <w:keepNext w:val="1"/>
        <w:widowControl w:val="1"/>
      </w:pPr>
      <w:r>
        <w:br/>
        <w:t>Emitir recordatorios respetuosos pero firmes.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Construcción de la hoja Excel </w:t>
        <w:br/>
      </w:r>
    </w:p>
    <w:p>
      <w:pPr>
        <w:pStyle w:val="ListNumber"/>
        <w:keepLines w:val="1"/>
        <w:widowControl w:val="1"/>
      </w:pPr>
      <w:r>
        <w:t>Implementar la lógica descrita en `e_plantilla_excel_</w:t>
      </w:r>
    </w:p>
    <w:p>
      <w:r>
        <w:t>Actualizar el mapeo normativo si hay cambios en TIBER‑EU, TIBER‑ES o DORA.</w:t>
      </w:r>
    </w:p>
    <w:p>
      <w:r>
        <w:rPr>
          <w:b/>
        </w:rPr>
        <w:t>Aprobación interna y con supervisores</w:t>
      </w:r>
      <w:r>
        <w:t xml:space="preserve"> </w:t>
      </w:r>
    </w:p>
    <w:p>
      <w:r>
        <w:t>Asegurar alineamiento con expectativas regulatorias y de confidencialidad.</w:t>
      </w:r>
    </w:p>
    <w:p>
      <w:r>
        <w:rPr>
          <w:b/>
        </w:rPr>
        <w:t>Configuración de la plataforma de encuesta</w:t>
      </w:r>
      <w:r>
        <w:t xml:space="preserve"> </w:t>
      </w:r>
    </w:p>
    <w:p>
      <w:r>
        <w:t>Preparar identificadores de entidad y mecanismos de acceso.</w:t>
      </w:r>
    </w:p>
    <w:p>
      <w:r>
        <w:rPr>
          <w:b/>
        </w:rPr>
        <w:t>Comunicación a las entidades</w:t>
      </w:r>
      <w:r>
        <w:t xml:space="preserve"> </w:t>
      </w:r>
    </w:p>
    <w:p>
      <w:r>
        <w:t>Establecer plazos claros, puntos de contacto y canales de soporte.</w:t>
      </w:r>
    </w:p>
    <w:p>
      <w:r>
        <w:rPr>
          <w:b/>
        </w:rPr>
        <w:t>Recogida de respuestas</w:t>
      </w:r>
      <w:r>
        <w:t xml:space="preserve"> </w:t>
      </w:r>
    </w:p>
    <w:p>
      <w:r>
        <w:t>Emitir recordatorios respetuosos pero firmes.</w:t>
      </w:r>
    </w:p>
    <w:p>
      <w:r>
        <w:rPr>
          <w:b/>
        </w:rPr>
        <w:t>Construcción de la hoja Excel</w:t>
      </w:r>
      <w:r>
        <w:t xml:space="preserve">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