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(GQM + PRAGMATIC)</w:t>
      </w:r>
    </w:p>
    <w:p>
      <w:pPr>
        <w:pStyle w:val="Heading2"/>
        <w:keepNext/>
        <w:keepLines/>
      </w:pPr>
      <w:r>
        <w:rPr>
          <w:color w:val="0066CC"/>
        </w:rPr>
        <w:t>1. Principios de diseño</w:t>
      </w:r>
    </w:p>
    <w:p>
      <w:pPr>
        <w:pStyle w:val="ListBullet"/>
        <w:keepLines w:val="1"/>
        <w:keepNext w:val="1"/>
        <w:widowControl w:val="1"/>
      </w:pPr>
      <w:r>
        <w:t xml:space="preserve">Mantener una correspondencia directa entre:  </w:t>
      </w:r>
    </w:p>
    <w:p>
      <w:pPr>
        <w:pStyle w:val="ListBullet"/>
        <w:keepLines w:val="1"/>
        <w:keepNext w:val="1"/>
        <w:widowControl w:val="1"/>
      </w:pPr>
      <w:r>
        <w:t xml:space="preserve">Metas GQM → Dimensiones del IGM.  </w:t>
      </w:r>
    </w:p>
    <w:p>
      <w:pPr>
        <w:pStyle w:val="ListBullet"/>
        <w:keepLines w:val="1"/>
        <w:keepNext w:val="1"/>
        <w:widowControl w:val="1"/>
      </w:pPr>
      <w:r>
        <w:t xml:space="preserve">Métricas GQM → Columnas calculadas.  </w:t>
      </w:r>
    </w:p>
    <w:p>
      <w:pPr>
        <w:pStyle w:val="ListBullet"/>
        <w:keepLines w:val="1"/>
        <w:widowControl w:val="1"/>
      </w:pPr>
      <w:r>
        <w:t>Incorporar factores PRAGMATIC como pesos opcionales en la agregación.</w:t>
      </w:r>
    </w:p>
    <w:p>
      <w:pPr>
        <w:pStyle w:val="Heading2"/>
        <w:keepNext/>
        <w:keepLines/>
      </w:pPr>
      <w:r>
        <w:rPr>
          <w:color w:val="0066CC"/>
        </w:rPr>
        <w:t>2. Hojas propuestas</w:t>
      </w:r>
    </w:p>
    <w:p>
      <w:pPr>
        <w:pStyle w:val="ListNumber"/>
        <w:keepLines w:val="1"/>
        <w:keepNext w:val="1"/>
        <w:widowControl w:val="1"/>
      </w:pPr>
      <w:r>
        <w:t xml:space="preserve">DatosEncuesta – Respuestas por entidad.  </w:t>
      </w:r>
    </w:p>
    <w:p>
      <w:pPr>
        <w:pStyle w:val="ListNumber"/>
        <w:keepLines w:val="1"/>
        <w:keepNext w:val="1"/>
        <w:widowControl w:val="1"/>
      </w:pPr>
      <w:r>
        <w:t xml:space="preserve">Codificacion_GQM – Conversión de categorías a valores.  </w:t>
      </w:r>
    </w:p>
    <w:p>
      <w:pPr>
        <w:pStyle w:val="ListNumber"/>
        <w:keepLines w:val="1"/>
        <w:keepNext w:val="1"/>
        <w:widowControl w:val="1"/>
      </w:pPr>
      <w:r>
        <w:t xml:space="preserve">PRAGMATIC – Puntuaciones PRAGMATIC por métrica (PRED, REL, etc.).  </w:t>
      </w:r>
    </w:p>
    <w:p>
      <w:pPr>
        <w:pStyle w:val="ListNumber"/>
        <w:keepLines w:val="1"/>
        <w:keepNext w:val="1"/>
        <w:widowControl w:val="1"/>
      </w:pPr>
      <w:r>
        <w:t xml:space="preserve">IGM_Entidad – Cálculo por entidad.  </w:t>
      </w:r>
    </w:p>
    <w:p>
      <w:pPr>
        <w:pStyle w:val="ListNumber"/>
        <w:keepLines w:val="1"/>
        <w:keepNext w:val="1"/>
        <w:widowControl w:val="1"/>
      </w:pPr>
      <w:r>
        <w:t xml:space="preserve">IGM_Sector – Estadísticos agregados.  </w:t>
      </w:r>
    </w:p>
    <w:p>
      <w:pPr>
        <w:pStyle w:val="ListNumber"/>
        <w:keepLines w:val="1"/>
        <w:widowControl w:val="1"/>
      </w:pPr>
      <w:r>
        <w:t xml:space="preserve">ROI_TIBER – Cálculos de ROI.  </w:t>
      </w:r>
    </w:p>
    <w:p>
      <w:pPr>
        <w:pStyle w:val="Heading2"/>
        <w:keepNext/>
        <w:keepLines/>
      </w:pPr>
      <w:r>
        <w:rPr>
          <w:color w:val="0066CC"/>
        </w:rPr>
        <w:t>3. Codificación y pesos</w:t>
      </w:r>
    </w:p>
    <w:p>
      <w:pPr>
        <w:pStyle w:val="Heading3"/>
        <w:keepNext/>
        <w:keepLines/>
      </w:pPr>
      <w:r>
        <w:t>3.1. Valores 0–5</w:t>
      </w:r>
    </w:p>
    <w:p>
      <w:r>
        <w:t>Cada métrica M‑X‑Y debe tener:</w:t>
      </w:r>
    </w:p>
    <w:p>
      <w:pPr>
        <w:pStyle w:val="ListBullet"/>
        <w:keepLines w:val="1"/>
        <w:keepNext w:val="1"/>
        <w:widowControl w:val="1"/>
      </w:pPr>
      <w:r>
        <w:t xml:space="preserve">Columna Valor_M_X_Y en Codificacion_GQM.  </w:t>
      </w:r>
    </w:p>
    <w:p>
      <w:pPr>
        <w:pStyle w:val="ListBullet"/>
        <w:keepLines w:val="1"/>
        <w:widowControl w:val="1"/>
      </w:pPr>
      <w:r>
        <w:t>Opcionalmente, columna Peso_PRAGMATIC_M_X_Y = media de (REL, ACC, GEN, SIG), por ejemplo.</w:t>
      </w:r>
    </w:p>
    <w:p>
      <w:pPr>
        <w:pStyle w:val="Heading3"/>
        <w:keepNext/>
        <w:keepLines/>
      </w:pPr>
      <w:r>
        <w:t>3.2. Uso de pesos PRAGMATIC</w:t>
      </w:r>
    </w:p>
    <w:p>
      <w:r>
        <w:t xml:space="preserve">En </w:t>
      </w:r>
      <w:r>
        <w:rPr>
          <w:rFonts w:ascii="Courier New" w:hAnsi="Courier New"/>
          <w:sz w:val="18"/>
        </w:rPr>
        <w:t>IGM_Entidad</w:t>
      </w:r>
      <w:r>
        <w:t>, la dimensión GOV podría calcularse como: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SUMAPRODUCTO(Rango_Valores_GOV; Rango_Pesos_GOV) / SUMA(Rango_Pesos_GOV)</w:t>
        <w:br/>
      </w:r>
    </w:p>
    <w:p>
      <w:r>
        <w:t>De este modo, métricas más relevantes/accionables pesan más.</w:t>
      </w:r>
    </w:p>
    <w:p>
      <w:pPr>
        <w:pStyle w:val="Heading2"/>
        <w:keepNext/>
        <w:keepLines/>
      </w:pPr>
      <w:r>
        <w:rPr>
          <w:color w:val="0066CC"/>
        </w:rPr>
        <w:t>4. Cálculo del IGM</w:t>
      </w:r>
    </w:p>
    <w:p>
      <w:pPr>
        <w:pStyle w:val="Heading3"/>
        <w:keepNext/>
        <w:keepLines/>
      </w:pPr>
      <w:r>
        <w:t>4.1. Dimensiones</w:t>
      </w:r>
    </w:p>
    <w:p>
      <w:pPr>
        <w:pStyle w:val="ListBullet"/>
        <w:keepLines w:val="1"/>
        <w:keepNext w:val="1"/>
        <w:widowControl w:val="1"/>
      </w:pPr>
      <w:r>
        <w:t xml:space="preserve">GOV basado en M‑GOV‑1, M‑GOV‑2, M‑GOV‑3, M‑GOV‑4.  </w:t>
      </w:r>
    </w:p>
    <w:p>
      <w:pPr>
        <w:pStyle w:val="ListBullet"/>
        <w:keepLines w:val="1"/>
        <w:keepNext w:val="1"/>
        <w:widowControl w:val="1"/>
      </w:pPr>
      <w:r>
        <w:t xml:space="preserve">TI basado en M‑TI‑1 a M‑TI‑4.  </w:t>
      </w:r>
    </w:p>
    <w:p>
      <w:pPr>
        <w:pStyle w:val="ListBullet"/>
        <w:keepLines w:val="1"/>
        <w:keepNext w:val="1"/>
        <w:widowControl w:val="1"/>
      </w:pPr>
      <w:r>
        <w:t xml:space="preserve">RT basado en M‑RT‑1 a M‑RT‑4.  </w:t>
      </w:r>
    </w:p>
    <w:p>
      <w:pPr>
        <w:pStyle w:val="ListBullet"/>
        <w:keepLines w:val="1"/>
        <w:keepNext w:val="1"/>
        <w:widowControl w:val="1"/>
      </w:pPr>
      <w:r>
        <w:t xml:space="preserve">BLUE basado en M‑BLUE‑1 a M‑BLUE‑4.  </w:t>
      </w:r>
    </w:p>
    <w:p>
      <w:pPr>
        <w:pStyle w:val="ListBullet"/>
        <w:keepLines w:val="1"/>
        <w:widowControl w:val="1"/>
      </w:pPr>
      <w:r>
        <w:t>PRP basado en M‑PRP‑1 a M‑PRP‑4.</w:t>
      </w:r>
    </w:p>
    <w:p>
      <w:pPr>
        <w:pStyle w:val="Heading3"/>
        <w:keepNext/>
        <w:keepLines/>
      </w:pPr>
      <w:r>
        <w:t>4.2. IGM total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PROMEDIO(GOV; TI; RT; BLUE; PRP)</w:t>
        <w:br/>
      </w:r>
    </w:p>
    <w:p>
      <w:r>
        <w:t>o bien ponderado según relevancia nacional.</w:t>
      </w:r>
    </w:p>
    <w:p>
      <w:pPr>
        <w:pStyle w:val="Heading2"/>
        <w:keepNext/>
        <w:keepLines/>
      </w:pPr>
      <w:r>
        <w:rPr>
          <w:color w:val="0066CC"/>
        </w:rPr>
        <w:t>5. ROI con conexión GQM</w:t>
      </w:r>
    </w:p>
    <w:p>
      <w:r>
        <w:t xml:space="preserve">En </w:t>
      </w:r>
      <w:r>
        <w:rPr>
          <w:rFonts w:ascii="Courier New" w:hAnsi="Courier New"/>
          <w:sz w:val="18"/>
        </w:rPr>
        <w:t>ROI_TIBER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Añadir columna que indique la meta GQM principal asociada a cada beneficio estimado (por ejemplo, BLUE‑1 para mejora de MTTD).  </w:t>
      </w:r>
    </w:p>
    <w:p>
      <w:pPr>
        <w:pStyle w:val="ListBullet"/>
        <w:keepLines w:val="1"/>
        <w:widowControl w:val="1"/>
      </w:pPr>
      <w:r>
        <w:t>Documentar en comentarios de celda cómo se ha inferido la reducción de riesgo a partir de cambios en métricas clave.</w:t>
      </w:r>
    </w:p>
    <w:p>
      <w:r>
        <w:rPr>
          <w:i/>
        </w:rPr>
        <w:t>Fin de la plantilla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