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Marco integrativo GQM + PRAGMATIC para indicadores INES–ENS</w:t>
      </w:r>
    </w:p>
    <w:p>
      <w:r>
        <w:t>Cómo conectar objetivos nacionales ENS–INES con métricas técnicas sin perderse en el camino.</w:t>
      </w:r>
    </w:p>
    <w:p>
      <w:pPr>
        <w:pStyle w:val="Heading2"/>
        <w:keepNext/>
        <w:keepLines/>
      </w:pPr>
      <w:r>
        <w:rPr>
          <w:color w:val="0066CC"/>
        </w:rPr>
        <w:t>1. Introducción</w:t>
      </w:r>
    </w:p>
    <w:p>
      <w:r>
        <w:t xml:space="preserve">El Esquema Nacional de Seguridad (ENS) y el proyecto INES exigen algo más que rellenar informes: obligan a demostrar con métricas el estado de seguridad, la madurez y la resiliencia de las organizaciones públicas y de sus proveedores críticos.[web:8][web:37][web:39] Para asegurar que esas métricas no se conviertan en un mero ritual, este marco integra la metodología GQM (Goal–Question–Metric) con la evaluación PRAGMATIC (Predictivo, Relevante, Accionable, Genuino, Significativo, Preciso, Oportuno, Independiente, Rentable).  </w:t>
      </w:r>
    </w:p>
    <w:p>
      <w:r>
        <w:t>El objetivo es asegurar la trazabilidad desde los objetivos nacionales (ENS, RD 311/2022, guías CCN‑STIC 815 y 824) hasta los datos técnicos que alimentan INES y los cuadros de mando internos.[web:20][web:33][web:37]</w:t>
      </w:r>
    </w:p>
    <w:p>
      <w:pPr>
        <w:pStyle w:val="Heading2"/>
        <w:keepNext/>
        <w:keepLines/>
      </w:pPr>
      <w:r>
        <w:rPr>
          <w:color w:val="0066CC"/>
        </w:rPr>
        <w:t>2. Recordatorio sucinto: GQM y PRAGMATIC</w:t>
      </w:r>
    </w:p>
    <w:p>
      <w:pPr>
        <w:pStyle w:val="Heading3"/>
        <w:keepNext/>
        <w:keepLines/>
      </w:pPr>
      <w:r>
        <w:t>2.1. GQM (Goal–Question–Metric)</w:t>
      </w:r>
    </w:p>
    <w:p>
      <w:pPr>
        <w:pStyle w:val="ListBullet"/>
        <w:keepLines w:val="1"/>
        <w:keepNext w:val="1"/>
        <w:widowControl w:val="1"/>
      </w:pPr>
      <w:r>
        <w:t xml:space="preserve">Goal (Objetivo): qué se quiere lograr, en términos de seguridad y riesgo, desde la óptica ENS–INES.  </w:t>
      </w:r>
    </w:p>
    <w:p>
      <w:pPr>
        <w:pStyle w:val="ListBullet"/>
        <w:keepLines w:val="1"/>
        <w:keepNext w:val="1"/>
        <w:widowControl w:val="1"/>
      </w:pPr>
      <w:r>
        <w:t xml:space="preserve">Question (Pregunta): qué debemos preguntarnos para saber si nos acercamos a ese objetivo.  </w:t>
      </w:r>
    </w:p>
    <w:p>
      <w:pPr>
        <w:pStyle w:val="ListBullet"/>
        <w:keepLines w:val="1"/>
        <w:widowControl w:val="1"/>
      </w:pPr>
      <w:r>
        <w:t>Metric (Métrica): qué medimos concretamente (dato) para responder a la pregunta.</w:t>
      </w:r>
    </w:p>
    <w:p>
      <w:r>
        <w:t>GQM obliga a justificar cada métrica en función de una pregunta y un objetivo, y evita “coleccionar números” sin propósito.</w:t>
      </w:r>
    </w:p>
    <w:p>
      <w:pPr>
        <w:pStyle w:val="Heading3"/>
        <w:keepNext/>
        <w:keepLines/>
      </w:pPr>
      <w:r>
        <w:t>2.2. PRAGMATIC</w:t>
      </w:r>
    </w:p>
    <w:p>
      <w:r>
        <w:t>Cada métrica se evalúa cualitativamente según nueve criterios:</w:t>
      </w:r>
    </w:p>
    <w:p>
      <w:pPr>
        <w:pStyle w:val="ListBullet"/>
        <w:keepLines w:val="1"/>
        <w:keepNext w:val="1"/>
        <w:widowControl w:val="1"/>
      </w:pPr>
      <w:r>
        <w:t xml:space="preserve">P – Predictiva: ¿anticipa resultados futuros, no solo describe el pasado?  </w:t>
      </w:r>
    </w:p>
    <w:p>
      <w:pPr>
        <w:pStyle w:val="ListBullet"/>
        <w:keepLines w:val="1"/>
        <w:keepNext w:val="1"/>
        <w:widowControl w:val="1"/>
      </w:pPr>
      <w:r>
        <w:t xml:space="preserve">R – Relevante: ¿importa realmente para los objetivos ENS–INES y de negocio?  </w:t>
      </w:r>
    </w:p>
    <w:p>
      <w:pPr>
        <w:pStyle w:val="ListBullet"/>
        <w:keepLines w:val="1"/>
        <w:keepNext w:val="1"/>
        <w:widowControl w:val="1"/>
      </w:pPr>
      <w:r>
        <w:t xml:space="preserve">A – Accionable: ¿induce acciones claras cuando cambia su valor?  </w:t>
      </w:r>
    </w:p>
    <w:p>
      <w:pPr>
        <w:pStyle w:val="ListBullet"/>
        <w:keepLines w:val="1"/>
        <w:keepNext w:val="1"/>
        <w:widowControl w:val="1"/>
      </w:pPr>
      <w:r>
        <w:t xml:space="preserve">G – Genuina: ¿refleja la realidad, sin ser fácilmente manipulable?  </w:t>
      </w:r>
    </w:p>
    <w:p>
      <w:pPr>
        <w:pStyle w:val="ListBullet"/>
        <w:keepLines w:val="1"/>
        <w:keepNext w:val="1"/>
        <w:widowControl w:val="1"/>
      </w:pPr>
      <w:r>
        <w:t xml:space="preserve">M – Significativa (Meaningful): ¿es fácil de interpretar por sus destinatarios?  </w:t>
      </w:r>
    </w:p>
    <w:p>
      <w:pPr>
        <w:pStyle w:val="ListBullet"/>
        <w:keepLines w:val="1"/>
        <w:keepNext w:val="1"/>
        <w:widowControl w:val="1"/>
      </w:pPr>
      <w:r>
        <w:t xml:space="preserve">P – Precisa: ¿es suficientemente exacta para el uso previsto?  </w:t>
      </w:r>
    </w:p>
    <w:p>
      <w:pPr>
        <w:pStyle w:val="ListBullet"/>
        <w:keepLines w:val="1"/>
        <w:keepNext w:val="1"/>
        <w:widowControl w:val="1"/>
      </w:pPr>
      <w:r>
        <w:t xml:space="preserve">T – Oportuna (Timely): ¿se obtiene con la periodicidad adecuada?  </w:t>
      </w:r>
    </w:p>
    <w:p>
      <w:pPr>
        <w:pStyle w:val="ListBullet"/>
        <w:keepLines w:val="1"/>
        <w:keepNext w:val="1"/>
        <w:widowControl w:val="1"/>
      </w:pPr>
      <w:r>
        <w:t xml:space="preserve">I – Independiente: ¿está lo bastante libre de sesgos y conflictos de interés?  </w:t>
      </w:r>
    </w:p>
    <w:p>
      <w:pPr>
        <w:pStyle w:val="ListBullet"/>
        <w:keepLines w:val="1"/>
        <w:widowControl w:val="1"/>
      </w:pPr>
      <w:r>
        <w:t>C – Rentable (Cost‑effective): ¿su coste de obtención es proporcional al valor que aporta?</w:t>
      </w:r>
    </w:p>
    <w:p>
      <w:r>
        <w:t>En este marco, cada métrica ENS–INES se acompaña de una mini‑ficha GQM y de una calificación PRAGMATIC (Alta/Media/Baja) en cada criterio.</w:t>
      </w:r>
    </w:p>
    <w:p>
      <w:pPr>
        <w:pStyle w:val="Heading2"/>
        <w:keepNext/>
        <w:keepLines/>
      </w:pPr>
      <w:r>
        <w:rPr>
          <w:color w:val="0066CC"/>
        </w:rPr>
        <w:t>3. Dominios de indicadores ENS–INES cubiertos</w:t>
      </w:r>
    </w:p>
    <w:p>
      <w:r>
        <w:t>El marco se aplica a siete dominios, coherentes con ENS, INES y las guías CCN‑STIC:</w:t>
      </w:r>
    </w:p>
    <w:p>
      <w:pPr>
        <w:pStyle w:val="ListNumber"/>
        <w:keepLines w:val="1"/>
        <w:keepNext w:val="1"/>
        <w:widowControl w:val="1"/>
      </w:pPr>
      <w:r>
        <w:t xml:space="preserve">Implantación de medidas ENS.  </w:t>
      </w:r>
    </w:p>
    <w:p>
      <w:pPr>
        <w:pStyle w:val="ListNumber"/>
        <w:keepLines w:val="1"/>
        <w:keepNext w:val="1"/>
        <w:widowControl w:val="1"/>
      </w:pPr>
      <w:r>
        <w:t xml:space="preserve">Eficacia y eficiencia de la seguridad.  </w:t>
      </w:r>
    </w:p>
    <w:p>
      <w:pPr>
        <w:pStyle w:val="ListNumber"/>
        <w:keepLines w:val="1"/>
        <w:keepNext w:val="1"/>
        <w:widowControl w:val="1"/>
      </w:pPr>
      <w:r>
        <w:t xml:space="preserve">Ciberincidentes y resiliencia.  </w:t>
      </w:r>
    </w:p>
    <w:p>
      <w:pPr>
        <w:pStyle w:val="ListNumber"/>
        <w:keepLines w:val="1"/>
        <w:keepNext w:val="1"/>
        <w:widowControl w:val="1"/>
      </w:pPr>
      <w:r>
        <w:t xml:space="preserve">Interconexiones, proveedores y cadena de suministro.  </w:t>
      </w:r>
    </w:p>
    <w:p>
      <w:pPr>
        <w:pStyle w:val="ListNumber"/>
        <w:keepLines w:val="1"/>
        <w:keepNext w:val="1"/>
        <w:widowControl w:val="1"/>
      </w:pPr>
      <w:r>
        <w:t xml:space="preserve">Madurez de gestión (modelo tipo CMM / IGM).  </w:t>
      </w:r>
    </w:p>
    <w:p>
      <w:pPr>
        <w:pStyle w:val="ListNumber"/>
        <w:keepLines w:val="1"/>
        <w:keepNext w:val="1"/>
        <w:widowControl w:val="1"/>
      </w:pPr>
      <w:r>
        <w:t xml:space="preserve">Uso de INES y herramientas (PILAR, LUCÍA, GRC).  </w:t>
      </w:r>
    </w:p>
    <w:p>
      <w:pPr>
        <w:pStyle w:val="ListNumber"/>
        <w:keepLines w:val="1"/>
        <w:keepNext w:val="1"/>
        <w:widowControl w:val="1"/>
      </w:pPr>
      <w:r>
        <w:t xml:space="preserve">Inversión y retorno (IGM, ROI, apetito de riesgo).  </w:t>
      </w:r>
    </w:p>
    <w:p>
      <w:pPr>
        <w:pStyle w:val="ListNumber"/>
        <w:keepLines w:val="1"/>
        <w:widowControl w:val="1"/>
      </w:pPr>
      <w:r>
        <w:t>Riesgos emergentes (IA, post‑cuántico, cibercrisis avanzada).</w:t>
      </w:r>
    </w:p>
    <w:p>
      <w:r>
        <w:t>Para cada dominio se definen:</w:t>
      </w:r>
    </w:p>
    <w:p>
      <w:pPr>
        <w:pStyle w:val="ListBullet"/>
        <w:keepLines w:val="1"/>
        <w:keepNext w:val="1"/>
        <w:widowControl w:val="1"/>
      </w:pPr>
      <w:r>
        <w:t xml:space="preserve">Objetivos GQM de nivel nacional/organizativo.  </w:t>
      </w:r>
    </w:p>
    <w:p>
      <w:pPr>
        <w:pStyle w:val="ListBullet"/>
        <w:keepLines w:val="1"/>
        <w:keepNext w:val="1"/>
        <w:widowControl w:val="1"/>
      </w:pPr>
      <w:r>
        <w:t xml:space="preserve">Preguntas GQM alineadas con ENS–INES.  </w:t>
      </w:r>
    </w:p>
    <w:p>
      <w:pPr>
        <w:pStyle w:val="ListBullet"/>
        <w:keepLines w:val="1"/>
        <w:widowControl w:val="1"/>
      </w:pPr>
      <w:r>
        <w:t>Métricas específicas, evaluadas con PRAGMATIC.</w:t>
      </w:r>
    </w:p>
    <w:p>
      <w:pPr>
        <w:pStyle w:val="Heading2"/>
        <w:keepNext/>
        <w:keepLines/>
      </w:pPr>
      <w:r>
        <w:rPr>
          <w:color w:val="0066CC"/>
        </w:rPr>
        <w:t>4. Ejemplo de plantilla GQM + PRAGMATIC por métrica</w:t>
      </w:r>
    </w:p>
    <w:p>
      <w:r>
        <w:t>Se utilizará la siguiente ficha tipo:</w:t>
      </w:r>
    </w:p>
    <w:p>
      <w:pPr>
        <w:pStyle w:val="ListBullet"/>
        <w:keepLines w:val="1"/>
        <w:keepNext w:val="1"/>
        <w:widowControl w:val="1"/>
      </w:pPr>
      <w:r>
        <w:t xml:space="preserve">Goal:  </w:t>
      </w:r>
    </w:p>
    <w:p>
      <w:pPr>
        <w:pStyle w:val="ListBullet"/>
        <w:keepLines w:val="1"/>
        <w:keepNext w:val="1"/>
        <w:widowControl w:val="1"/>
      </w:pPr>
      <w:r>
        <w:t xml:space="preserve">Question:  </w:t>
      </w:r>
    </w:p>
    <w:p>
      <w:pPr>
        <w:pStyle w:val="ListBullet"/>
        <w:keepLines w:val="1"/>
        <w:keepNext w:val="1"/>
        <w:widowControl w:val="1"/>
      </w:pPr>
      <w:r>
        <w:t xml:space="preserve">Metric: definición, fuente, periodicidad.  </w:t>
      </w:r>
    </w:p>
    <w:p>
      <w:pPr>
        <w:pStyle w:val="ListBullet"/>
        <w:keepLines w:val="1"/>
        <w:keepNext w:val="1"/>
        <w:widowControl w:val="1"/>
      </w:pPr>
      <w:r>
        <w:t xml:space="preserve">PRAGMATIC:  </w:t>
      </w:r>
    </w:p>
    <w:p>
      <w:pPr>
        <w:pStyle w:val="ListBullet"/>
        <w:keepLines w:val="1"/>
        <w:keepNext w:val="1"/>
        <w:widowControl w:val="1"/>
      </w:pPr>
      <w:r>
        <w:t xml:space="preserve">Predictiva (Alta / Media / Baja) + breve justificación.  </w:t>
      </w:r>
    </w:p>
    <w:p>
      <w:pPr>
        <w:pStyle w:val="ListBullet"/>
        <w:keepLines w:val="1"/>
        <w:keepNext w:val="1"/>
        <w:widowControl w:val="1"/>
      </w:pPr>
      <w:r>
        <w:t xml:space="preserve">Relevante (A/M/B).  </w:t>
      </w:r>
    </w:p>
    <w:p>
      <w:pPr>
        <w:pStyle w:val="ListBullet"/>
        <w:keepLines w:val="1"/>
        <w:keepNext w:val="1"/>
        <w:widowControl w:val="1"/>
      </w:pPr>
      <w:r>
        <w:t xml:space="preserve">Accionable (A/M/B).  </w:t>
      </w:r>
    </w:p>
    <w:p>
      <w:pPr>
        <w:pStyle w:val="ListBullet"/>
        <w:keepLines w:val="1"/>
        <w:keepNext w:val="1"/>
        <w:widowControl w:val="1"/>
      </w:pPr>
      <w:r>
        <w:t xml:space="preserve">Genuina (A/M/B).  </w:t>
      </w:r>
    </w:p>
    <w:p>
      <w:pPr>
        <w:pStyle w:val="ListBullet"/>
        <w:keepLines w:val="1"/>
        <w:keepNext w:val="1"/>
        <w:widowControl w:val="1"/>
      </w:pPr>
      <w:r>
        <w:t xml:space="preserve">Significativa (A/M/B).  </w:t>
      </w:r>
    </w:p>
    <w:p>
      <w:pPr>
        <w:pStyle w:val="ListBullet"/>
        <w:keepLines w:val="1"/>
        <w:keepNext w:val="1"/>
        <w:widowControl w:val="1"/>
      </w:pPr>
      <w:r>
        <w:t xml:space="preserve">Precisa (A/M/B).  </w:t>
      </w:r>
    </w:p>
    <w:p>
      <w:pPr>
        <w:pStyle w:val="ListBullet"/>
        <w:keepLines w:val="1"/>
        <w:keepNext w:val="1"/>
        <w:widowControl w:val="1"/>
      </w:pPr>
      <w:r>
        <w:t xml:space="preserve">Oportuna (A/M/B).  </w:t>
      </w:r>
    </w:p>
    <w:p>
      <w:pPr>
        <w:pStyle w:val="ListBullet"/>
        <w:keepLines w:val="1"/>
        <w:keepNext w:val="1"/>
        <w:widowControl w:val="1"/>
      </w:pPr>
      <w:r>
        <w:t xml:space="preserve">Independiente (A/M/B).  </w:t>
      </w:r>
    </w:p>
    <w:p>
      <w:pPr>
        <w:pStyle w:val="ListBullet"/>
        <w:keepLines w:val="1"/>
        <w:widowControl w:val="1"/>
      </w:pPr>
      <w:r>
        <w:t>Rentable (A/M/B).</w:t>
      </w:r>
    </w:p>
    <w:p>
      <w:pPr>
        <w:pStyle w:val="Heading2"/>
        <w:keepNext/>
        <w:keepLines/>
      </w:pPr>
      <w:r>
        <w:rPr>
          <w:color w:val="0066CC"/>
        </w:rPr>
        <w:t>5. Dominios y ejemplos GQM + PRAGMATIC</w:t>
      </w:r>
    </w:p>
    <w:p>
      <w:pPr>
        <w:pStyle w:val="Heading3"/>
        <w:keepNext/>
        <w:keepLines/>
      </w:pPr>
      <w:r>
        <w:t>5.1. Implantación de medidas ENS</w:t>
      </w:r>
    </w:p>
    <w:p>
      <w:r>
        <w:rPr>
          <w:b/>
        </w:rPr>
        <w:t>Goal 1</w:t>
      </w:r>
      <w:r>
        <w:t>: Asegurar que las medidas ENS aplicables están implantadas, documentadas y revisadas de forma sistemática en todos los sistemas bajo alcance.[web:20][web:33][web:37]</w:t>
      </w:r>
    </w:p>
    <w:p>
      <w:r>
        <w:rPr>
          <w:b/>
        </w:rPr>
        <w:t>Question 1.1</w:t>
      </w:r>
      <w:r>
        <w:t>: ¿Qué porcentaje de medidas ENS aplicables están implantadas en cada sistema y globalmente en la organización?</w:t>
      </w:r>
    </w:p>
    <w:p>
      <w:pPr>
        <w:pStyle w:val="ListBullet"/>
        <w:keepLines w:val="1"/>
        <w:keepNext w:val="1"/>
        <w:widowControl w:val="1"/>
      </w:pPr>
      <w:r>
        <w:t xml:space="preserve">Metric 1.1.1: Porcentaje de medidas ENS implantadas sobre las aplicables.  </w:t>
      </w:r>
    </w:p>
    <w:p>
      <w:pPr>
        <w:pStyle w:val="ListBullet"/>
        <w:keepLines w:val="1"/>
        <w:keepNext w:val="1"/>
        <w:widowControl w:val="1"/>
      </w:pPr>
      <w:r>
        <w:t xml:space="preserve">Fuente: inventario ENS, autoevaluaciones, auditorías (CCN‑STIC 808, 802, 824).[web:18][web:38][web:33]  </w:t>
      </w:r>
    </w:p>
    <w:p>
      <w:pPr>
        <w:pStyle w:val="ListBullet"/>
        <w:keepLines w:val="1"/>
        <w:keepNext w:val="1"/>
        <w:widowControl w:val="1"/>
      </w:pPr>
      <w:r>
        <w:t xml:space="preserve">Periodicidad: anual (al menos), preferible semestral.  </w:t>
      </w:r>
    </w:p>
    <w:p>
      <w:pPr>
        <w:pStyle w:val="ListBullet"/>
        <w:keepLines w:val="1"/>
        <w:widowControl w:val="1"/>
      </w:pPr>
      <w:r>
        <w:t xml:space="preserve">PRAGMATIC:  </w:t>
        <w:br/>
        <w:t xml:space="preserve">Predictiva: Media (indica capacidad, no necesariamente eficacia).  </w:t>
        <w:br/>
        <w:t xml:space="preserve">Relevante: Alta (núcleo de conformidad ENS).  </w:t>
        <w:br/>
        <w:t xml:space="preserve">Accionable: Alta (identifica brechas por familia de medidas).  </w:t>
        <w:br/>
        <w:t xml:space="preserve">Genuina: Media (riesgo de optimismo si no se audita).  </w:t>
        <w:br/>
        <w:t xml:space="preserve">Significativa: Alta (fácil de interpretar).  </w:t>
        <w:br/>
        <w:t xml:space="preserve">Precisa: Media (depende de calidad de inventario).  </w:t>
        <w:br/>
        <w:t xml:space="preserve">Oportuna: Media (anual suele ser suficiente).  </w:t>
        <w:br/>
        <w:t xml:space="preserve">Independiente: Media (mejor si la valida auditoría externa).  </w:t>
        <w:br/>
        <w:t>Rentable: Alta (dato ya requerido para ENS/INES).</w:t>
        <w:br/>
        <w:br/>
      </w:r>
    </w:p>
    <w:p>
      <w:pPr>
        <w:pStyle w:val="ListBullet"/>
        <w:keepLines w:val="1"/>
        <w:keepNext w:val="1"/>
        <w:widowControl w:val="1"/>
      </w:pPr>
      <w:r>
        <w:t xml:space="preserve">Predictiva: Media (indica capacidad, no necesariamente eficacia).  </w:t>
      </w:r>
    </w:p>
    <w:p>
      <w:pPr>
        <w:pStyle w:val="ListBullet"/>
        <w:keepLines w:val="1"/>
        <w:keepNext w:val="1"/>
        <w:widowControl w:val="1"/>
      </w:pPr>
      <w:r>
        <w:t xml:space="preserve">Relevante: Alta (núcleo de conformidad ENS).  </w:t>
      </w:r>
    </w:p>
    <w:p>
      <w:pPr>
        <w:pStyle w:val="ListBullet"/>
        <w:keepLines w:val="1"/>
        <w:keepNext w:val="1"/>
        <w:widowControl w:val="1"/>
      </w:pPr>
      <w:r>
        <w:t xml:space="preserve">Accionable: Alta (identifica brechas por familia de medidas).  </w:t>
      </w:r>
    </w:p>
    <w:p>
      <w:pPr>
        <w:pStyle w:val="ListBullet"/>
        <w:keepLines w:val="1"/>
        <w:keepNext w:val="1"/>
        <w:widowControl w:val="1"/>
      </w:pPr>
      <w:r>
        <w:t xml:space="preserve">Genuina: Media (riesgo de optimismo si no se audita).  </w:t>
      </w:r>
    </w:p>
    <w:p>
      <w:pPr>
        <w:pStyle w:val="ListBullet"/>
        <w:keepLines w:val="1"/>
        <w:keepNext w:val="1"/>
        <w:widowControl w:val="1"/>
      </w:pPr>
      <w:r>
        <w:t xml:space="preserve">Significativa: Alta (fácil de interpretar).  </w:t>
      </w:r>
    </w:p>
    <w:p>
      <w:pPr>
        <w:pStyle w:val="ListBullet"/>
        <w:keepLines w:val="1"/>
        <w:keepNext w:val="1"/>
        <w:widowControl w:val="1"/>
      </w:pPr>
      <w:r>
        <w:t xml:space="preserve">Precisa: Media (depende de calidad de inventario).  </w:t>
      </w:r>
    </w:p>
    <w:p>
      <w:pPr>
        <w:pStyle w:val="ListBullet"/>
        <w:keepLines w:val="1"/>
        <w:keepNext w:val="1"/>
        <w:widowControl w:val="1"/>
      </w:pPr>
      <w:r>
        <w:t xml:space="preserve">Oportuna: Media (anual suele ser suficiente).  </w:t>
      </w:r>
    </w:p>
    <w:p>
      <w:pPr>
        <w:pStyle w:val="ListBullet"/>
        <w:keepLines w:val="1"/>
        <w:keepNext w:val="1"/>
        <w:widowControl w:val="1"/>
      </w:pPr>
      <w:r>
        <w:t xml:space="preserve">Independiente: Media (mejor si la valida auditoría externa).  </w:t>
      </w:r>
    </w:p>
    <w:p>
      <w:pPr>
        <w:pStyle w:val="ListBullet"/>
        <w:keepLines w:val="1"/>
        <w:widowControl w:val="1"/>
      </w:pPr>
      <w:r>
        <w:t>Rentable: Alta (dato ya requerido para ENS/INES).</w:t>
      </w:r>
    </w:p>
    <w:p>
      <w:r>
        <w:rPr>
          <w:b/>
        </w:rPr>
        <w:t>Question 1.2</w:t>
      </w:r>
      <w:r>
        <w:t>: ¿Con qué frecuencia se revisa el grado de implantación y se actualizan las evidencias?</w:t>
      </w:r>
    </w:p>
    <w:p>
      <w:pPr>
        <w:pStyle w:val="ListBullet"/>
        <w:keepLines w:val="1"/>
        <w:keepNext w:val="1"/>
        <w:widowControl w:val="1"/>
      </w:pPr>
      <w:r>
        <w:t xml:space="preserve">Metric 1.2.1: Frecuencia de revisión formal de implantación ENS (meses entre revisiones).  </w:t>
      </w:r>
    </w:p>
    <w:p>
      <w:pPr>
        <w:pStyle w:val="ListBullet"/>
        <w:keepLines w:val="1"/>
        <w:widowControl w:val="1"/>
      </w:pPr>
      <w:r>
        <w:t>PRAGMATIC: P: Media, R: Alta, A: Alta, G: Alta, M: Alta, P: Alta, T: Alta, I: Media, C: Alta.</w:t>
      </w:r>
    </w:p>
    <w:p>
      <w:r>
        <w:rPr>
          <w:b/>
        </w:rPr>
        <w:t>Question 1.3</w:t>
      </w:r>
      <w:r>
        <w:t>: ¿Qué grado de automatización existe en la recopilación de datos sobre implantación?</w:t>
      </w:r>
    </w:p>
    <w:p>
      <w:pPr>
        <w:pStyle w:val="ListBullet"/>
        <w:keepLines w:val="1"/>
        <w:keepNext w:val="1"/>
        <w:widowControl w:val="1"/>
      </w:pPr>
      <w:r>
        <w:t xml:space="preserve">Metric 1.3.1: Porcentaje de medidas ENS cuya evidencia se obtiene de sistemas automatizados (GRC, CMDB, herramientas CCN).  </w:t>
      </w:r>
    </w:p>
    <w:p>
      <w:pPr>
        <w:pStyle w:val="ListBullet"/>
        <w:keepLines w:val="1"/>
        <w:widowControl w:val="1"/>
      </w:pPr>
      <w:r>
        <w:t>PRAGMATIC: P: Media, R: Media, A: Media, G: Alta, M: Media, P: Media, T: Alta, I: Alta, C: Media.</w:t>
      </w:r>
    </w:p>
    <w:p>
      <w:pPr>
        <w:pStyle w:val="Heading3"/>
        <w:keepNext/>
        <w:keepLines/>
      </w:pPr>
      <w:r>
        <w:t>5.2. Eficacia y eficiencia de la seguridad</w:t>
      </w:r>
    </w:p>
    <w:p>
      <w:r>
        <w:rPr>
          <w:b/>
        </w:rPr>
        <w:t>Goal 2</w:t>
      </w:r>
      <w:r>
        <w:t>: Evaluar si las medidas ENS implantadas reducen efectivamente incidentes y riesgos, y optimizar el uso de recursos dedicados a seguridad.[web:20][web:30][web:33]</w:t>
      </w:r>
    </w:p>
    <w:p>
      <w:r>
        <w:rPr>
          <w:b/>
        </w:rPr>
        <w:t>Question 2.1</w:t>
      </w:r>
      <w:r>
        <w:t>: ¿Disminuyen los incidentes graves en el tiempo?</w:t>
      </w:r>
    </w:p>
    <w:p>
      <w:pPr>
        <w:pStyle w:val="ListBullet"/>
        <w:keepLines w:val="1"/>
        <w:keepNext w:val="1"/>
        <w:widowControl w:val="1"/>
      </w:pPr>
      <w:r>
        <w:t xml:space="preserve">Metric 2.1.1: Número de incidentes graves por año y por 1.000 activos críticos.  </w:t>
      </w:r>
    </w:p>
    <w:p>
      <w:pPr>
        <w:pStyle w:val="ListBullet"/>
        <w:keepLines w:val="1"/>
        <w:keepNext w:val="1"/>
        <w:widowControl w:val="1"/>
      </w:pPr>
      <w:r>
        <w:t xml:space="preserve">Fuente: registro de incidentes (CCN‑STIC 817, herramienta LUCÍA/SOC).[web:30][web:32]  </w:t>
      </w:r>
    </w:p>
    <w:p>
      <w:pPr>
        <w:pStyle w:val="ListBullet"/>
        <w:keepLines w:val="1"/>
        <w:widowControl w:val="1"/>
      </w:pPr>
      <w:r>
        <w:t>PRAGMATIC: P: Alta (tendencia), R: Alta, A: Alta, G: Alta (si se registran todos), M: Alta, P: Media, T: Media, I: Media, C: Media.</w:t>
      </w:r>
    </w:p>
    <w:p>
      <w:r>
        <w:rPr>
          <w:b/>
        </w:rPr>
        <w:t>Question 2.2</w:t>
      </w:r>
      <w:r>
        <w:t>: ¿Mejora la capacidad de detección y respuesta?</w:t>
      </w:r>
    </w:p>
    <w:p>
      <w:pPr>
        <w:pStyle w:val="ListBullet"/>
        <w:keepLines w:val="1"/>
        <w:keepNext w:val="1"/>
        <w:widowControl w:val="1"/>
      </w:pPr>
      <w:r>
        <w:t xml:space="preserve">Metric 2.2.1: MTTD medio (Mean Time To Detect) para incidentes significativos.  </w:t>
      </w:r>
    </w:p>
    <w:p>
      <w:pPr>
        <w:pStyle w:val="ListBullet"/>
        <w:keepLines w:val="1"/>
        <w:keepNext w:val="1"/>
        <w:widowControl w:val="1"/>
      </w:pPr>
      <w:r>
        <w:t xml:space="preserve">Metric 2.2.2: MTTR medio (Mean Time To Respond/Recover).  </w:t>
      </w:r>
    </w:p>
    <w:p>
      <w:pPr>
        <w:pStyle w:val="ListBullet"/>
        <w:keepLines w:val="1"/>
        <w:widowControl w:val="1"/>
      </w:pPr>
      <w:r>
        <w:t>PRAGMATIC (para ambas): P: Alta, R: Alta, A: Alta, G: Media, M: Alta, P: Media, T: Alta, I: Media, C: Media.</w:t>
      </w:r>
    </w:p>
    <w:p>
      <w:r>
        <w:rPr>
          <w:b/>
        </w:rPr>
        <w:t>Question 2.3</w:t>
      </w:r>
      <w:r>
        <w:t>: ¿Es eficiente el esfuerzo invertido en seguridad?</w:t>
      </w:r>
    </w:p>
    <w:p>
      <w:pPr>
        <w:pStyle w:val="ListBullet"/>
        <w:keepLines w:val="1"/>
        <w:keepNext w:val="1"/>
        <w:widowControl w:val="1"/>
      </w:pPr>
      <w:r>
        <w:t xml:space="preserve">Metric 2.3.1: Porcentaje de presupuesto TIC dedicado a seguridad.  </w:t>
      </w:r>
    </w:p>
    <w:p>
      <w:pPr>
        <w:pStyle w:val="ListBullet"/>
        <w:keepLines w:val="1"/>
        <w:keepNext w:val="1"/>
        <w:widowControl w:val="1"/>
      </w:pPr>
      <w:r>
        <w:t xml:space="preserve">Metric 2.3.2: Nº de FTE dedicados a seguridad por 1.000 usuarios.  </w:t>
      </w:r>
    </w:p>
    <w:p>
      <w:pPr>
        <w:pStyle w:val="ListBullet"/>
        <w:keepLines w:val="1"/>
        <w:widowControl w:val="1"/>
      </w:pPr>
      <w:r>
        <w:t>PRAGMATIC: P: Media, R: Alta, A: Media, G: Media, M: Alta, P: Alta, T: Media, I: Alta, C: Alta.</w:t>
      </w:r>
    </w:p>
    <w:p>
      <w:pPr>
        <w:pStyle w:val="Heading3"/>
        <w:keepNext/>
        <w:keepLines/>
      </w:pPr>
      <w:r>
        <w:t>5.3. Ciberincidentes y resiliencia</w:t>
      </w:r>
    </w:p>
    <w:p>
      <w:r>
        <w:rPr>
          <w:b/>
        </w:rPr>
        <w:t>Goal 3</w:t>
      </w:r>
      <w:r>
        <w:t>: Minimizar el impacto de ciberincidentes en servicios críticos y mejorar la resiliencia y la continuidad de negocio.[web:30][web:36][web:37]</w:t>
      </w:r>
    </w:p>
    <w:p>
      <w:r>
        <w:rPr>
          <w:b/>
        </w:rPr>
        <w:t>Question 3.1</w:t>
      </w:r>
      <w:r>
        <w:t>: ¿Cuántos servicios críticos sufren interrupciones significativas por incidentes de seguridad?</w:t>
      </w:r>
    </w:p>
    <w:p>
      <w:pPr>
        <w:pStyle w:val="ListBullet"/>
        <w:keepLines w:val="1"/>
        <w:keepNext w:val="1"/>
        <w:widowControl w:val="1"/>
      </w:pPr>
      <w:r>
        <w:t xml:space="preserve">Metric 3.1.1: Nº de interrupciones de servicios críticos atribuibles a ciberincidentes (anual).  </w:t>
      </w:r>
    </w:p>
    <w:p>
      <w:pPr>
        <w:pStyle w:val="ListBullet"/>
        <w:keepLines w:val="1"/>
        <w:widowControl w:val="1"/>
      </w:pPr>
      <w:r>
        <w:t>PRAGMATIC: P: Alta, R: Alta, A: Alta, G: Media, M: Alta, P: Media, T: Media, I: Media, C: Media.</w:t>
      </w:r>
    </w:p>
    <w:p>
      <w:r>
        <w:rPr>
          <w:b/>
        </w:rPr>
        <w:t>Question 3.2</w:t>
      </w:r>
      <w:r>
        <w:t>: ¿Se cumplen los objetivos de recuperación (RTO, RPO)?</w:t>
      </w:r>
    </w:p>
    <w:p>
      <w:pPr>
        <w:pStyle w:val="ListBullet"/>
        <w:keepLines w:val="1"/>
        <w:keepNext w:val="1"/>
        <w:widowControl w:val="1"/>
      </w:pPr>
      <w:r>
        <w:t xml:space="preserve">Metric 3.2.1: Porcentaje de incidentes en los que se cumple el RTO definido.  </w:t>
      </w:r>
    </w:p>
    <w:p>
      <w:pPr>
        <w:pStyle w:val="ListBullet"/>
        <w:keepLines w:val="1"/>
        <w:widowControl w:val="1"/>
      </w:pPr>
      <w:r>
        <w:t>PRAGMATIC: P: Alta, R: Alta, A: Alta, G: Media, M: Alta, P: Media, T: Alta, I: Media, C: Media.</w:t>
      </w:r>
    </w:p>
    <w:p>
      <w:r>
        <w:rPr>
          <w:b/>
        </w:rPr>
        <w:t>Question 3.3</w:t>
      </w:r>
      <w:r>
        <w:t>: ¿Se gestionan sistemáticamente las causas raíz?</w:t>
      </w:r>
    </w:p>
    <w:p>
      <w:pPr>
        <w:pStyle w:val="ListBullet"/>
        <w:keepLines w:val="1"/>
        <w:keepNext w:val="1"/>
        <w:widowControl w:val="1"/>
      </w:pPr>
      <w:r>
        <w:t xml:space="preserve">Metric 3.3.1: Porcentaje de incidentes graves con análisis de causa raíz completado y acciones de mejora definidas.  </w:t>
      </w:r>
    </w:p>
    <w:p>
      <w:pPr>
        <w:pStyle w:val="ListBullet"/>
        <w:keepLines w:val="1"/>
        <w:widowControl w:val="1"/>
      </w:pPr>
      <w:r>
        <w:t>PRAGMATIC: P: Media, R: Alta, A: Alta, G: Alta, M: Alta, P: Alta, T: Media, I: Media, C: Alta.</w:t>
      </w:r>
    </w:p>
    <w:p>
      <w:pPr>
        <w:pStyle w:val="Heading3"/>
        <w:keepNext/>
        <w:keepLines/>
      </w:pPr>
      <w:r>
        <w:t>5.4. Interconexiones, proveedores y cadena de suministro</w:t>
      </w:r>
    </w:p>
    <w:p>
      <w:r>
        <w:rPr>
          <w:b/>
        </w:rPr>
        <w:t>Goal 4</w:t>
      </w:r>
      <w:r>
        <w:t>: Asegurar que las interconexiones y proveedores críticos cumplen requerimientos ENS/NIS2 y no introducen riesgos descontrolados.[web:35][web:21][web:24][web:27]</w:t>
      </w:r>
    </w:p>
    <w:p>
      <w:r>
        <w:rPr>
          <w:b/>
        </w:rPr>
        <w:t>Question 4.1</w:t>
      </w:r>
      <w:r>
        <w:t>: ¿Qué proporción de proveedores críticos incluye cláusulas alineadas con ENS/NIS2?</w:t>
      </w:r>
    </w:p>
    <w:p>
      <w:pPr>
        <w:pStyle w:val="ListBullet"/>
        <w:keepLines w:val="1"/>
        <w:keepNext w:val="1"/>
        <w:widowControl w:val="1"/>
      </w:pPr>
      <w:r>
        <w:t xml:space="preserve">Metric 4.1.1: Porcentaje de contratos con proveedores críticos que incluyen cláusulas específicas de seguridad, notificación de incidentes y auditoría.[web:35]  </w:t>
      </w:r>
    </w:p>
    <w:p>
      <w:pPr>
        <w:pStyle w:val="ListBullet"/>
        <w:keepLines w:val="1"/>
        <w:widowControl w:val="1"/>
      </w:pPr>
      <w:r>
        <w:t>PRAGMATIC: P: Media, R: Alta, A: Alta, G: Alta, M: Alta, P: Alta, T: Media, I: Media, C: Alta.</w:t>
      </w:r>
    </w:p>
    <w:p>
      <w:r>
        <w:rPr>
          <w:b/>
        </w:rPr>
        <w:t>Question 4.2</w:t>
      </w:r>
      <w:r>
        <w:t>: ¿Se evalúa regularmente la seguridad de proveedores?</w:t>
      </w:r>
    </w:p>
    <w:p>
      <w:pPr>
        <w:pStyle w:val="ListBullet"/>
        <w:keepLines w:val="1"/>
        <w:keepNext w:val="1"/>
        <w:widowControl w:val="1"/>
      </w:pPr>
      <w:r>
        <w:t xml:space="preserve">Metric 4.2.1: Porcentaje de proveedores críticos con evaluación de seguridad actualizada en los últimos 12 meses.  </w:t>
      </w:r>
    </w:p>
    <w:p>
      <w:pPr>
        <w:pStyle w:val="ListBullet"/>
        <w:keepLines w:val="1"/>
        <w:widowControl w:val="1"/>
      </w:pPr>
      <w:r>
        <w:t>PRAGMATIC: P: Media, R: Alta, A: Alta, G: Media, M: Alta, P: Media, T: Alta, I: Media, C: Media.</w:t>
      </w:r>
    </w:p>
    <w:p>
      <w:r>
        <w:rPr>
          <w:b/>
        </w:rPr>
        <w:t>Question 4.3</w:t>
      </w:r>
      <w:r>
        <w:t>: ¿Se integran los proveedores en la gestión de incidentes y cibercrisis?</w:t>
      </w:r>
    </w:p>
    <w:p>
      <w:pPr>
        <w:pStyle w:val="ListBullet"/>
        <w:keepLines w:val="1"/>
        <w:keepNext w:val="1"/>
        <w:widowControl w:val="1"/>
      </w:pPr>
      <w:r>
        <w:t xml:space="preserve">Metric 4.3.1: Número de ejercicios o simulacros en los que han participado proveedores críticos en el último año.[web:36]  </w:t>
      </w:r>
    </w:p>
    <w:p>
      <w:pPr>
        <w:pStyle w:val="ListBullet"/>
        <w:keepLines w:val="1"/>
        <w:widowControl w:val="1"/>
      </w:pPr>
      <w:r>
        <w:t>PRAGMATIC: P: Media, R: Media, A: Alta, G: Alta, M: Media, P: Alta, T: Media, I: Alta, C: Media.</w:t>
      </w:r>
    </w:p>
    <w:p>
      <w:pPr>
        <w:pStyle w:val="Heading3"/>
        <w:keepNext/>
        <w:keepLines/>
      </w:pPr>
      <w:r>
        <w:t>5.5. Madurez de gestión (IGM ENS–INES)</w:t>
      </w:r>
    </w:p>
    <w:p>
      <w:r>
        <w:rPr>
          <w:b/>
        </w:rPr>
        <w:t>Goal 5</w:t>
      </w:r>
      <w:r>
        <w:t>: Mejorar de forma continua la madurez de gestión de la seguridad en dominios clave (riesgos, identidades, incidentes, continuidad, proveedores, cultura, métricas).[web:20][web:33]</w:t>
      </w:r>
    </w:p>
    <w:p>
      <w:r>
        <w:rPr>
          <w:b/>
        </w:rPr>
        <w:t>Question 5.1</w:t>
      </w:r>
      <w:r>
        <w:t>: ¿Cuál es el nivel de madurez medio por dominio y global?</w:t>
      </w:r>
    </w:p>
    <w:p>
      <w:pPr>
        <w:pStyle w:val="ListBullet"/>
        <w:keepLines w:val="1"/>
        <w:keepNext w:val="1"/>
        <w:widowControl w:val="1"/>
      </w:pPr>
      <w:r>
        <w:t xml:space="preserve">Metric 5.1.1: Puntuación de madurez (1–5) por dominio.  </w:t>
      </w:r>
    </w:p>
    <w:p>
      <w:pPr>
        <w:pStyle w:val="ListBullet"/>
        <w:keepLines w:val="1"/>
        <w:keepNext w:val="1"/>
        <w:widowControl w:val="1"/>
      </w:pPr>
      <w:r>
        <w:t xml:space="preserve">Metric 5.1.2: Índice Global de Madurez (IGM), media ponderada.  </w:t>
      </w:r>
    </w:p>
    <w:p>
      <w:pPr>
        <w:pStyle w:val="ListBullet"/>
        <w:keepLines w:val="1"/>
        <w:widowControl w:val="1"/>
      </w:pPr>
      <w:r>
        <w:t>PRAGMATIC: P: Alta (cuando se analiza en tendencia), R: Alta, A: Alta, G: Media, M: Alta, P: Media, T: Media, I: Media, C: Alta.</w:t>
      </w:r>
    </w:p>
    <w:p>
      <w:r>
        <w:rPr>
          <w:b/>
        </w:rPr>
        <w:t>Question 5.2</w:t>
      </w:r>
      <w:r>
        <w:t>: ¿Mejora la madurez en el tiempo?</w:t>
      </w:r>
    </w:p>
    <w:p>
      <w:pPr>
        <w:pStyle w:val="ListBullet"/>
        <w:keepLines w:val="1"/>
        <w:keepNext w:val="1"/>
        <w:widowControl w:val="1"/>
      </w:pPr>
      <w:r>
        <w:t xml:space="preserve">Metric 5.2.1: Variación anual del IGM por dominio y global.  </w:t>
      </w:r>
    </w:p>
    <w:p>
      <w:pPr>
        <w:pStyle w:val="ListBullet"/>
        <w:keepLines w:val="1"/>
        <w:widowControl w:val="1"/>
      </w:pPr>
      <w:r>
        <w:t>PRAGMATIC: P: Alta, R: Alta, A: Alta, G: Alta, M: Alta, P: Media, T: Media, I: Alta, C: Alta.</w:t>
      </w:r>
    </w:p>
    <w:p>
      <w:pPr>
        <w:pStyle w:val="Heading3"/>
        <w:keepNext/>
        <w:keepLines/>
      </w:pPr>
      <w:r>
        <w:t>5.6. Uso de INES y herramientas</w:t>
      </w:r>
    </w:p>
    <w:p>
      <w:r>
        <w:rPr>
          <w:b/>
        </w:rPr>
        <w:t>Goal 6</w:t>
      </w:r>
      <w:r>
        <w:t>: Convertir INES y las herramientas asociadas en instrumentos de gestión y no solo de reporte.[web:8][web:33][web:39]</w:t>
      </w:r>
    </w:p>
    <w:p>
      <w:r>
        <w:rPr>
          <w:b/>
        </w:rPr>
        <w:t>Question 6.1</w:t>
      </w:r>
      <w:r>
        <w:t>: ¿Se reciclan los datos de INES para la toma de decisiones interna?</w:t>
      </w:r>
    </w:p>
    <w:p>
      <w:pPr>
        <w:pStyle w:val="ListBullet"/>
        <w:keepLines w:val="1"/>
        <w:keepNext w:val="1"/>
        <w:widowControl w:val="1"/>
      </w:pPr>
      <w:r>
        <w:t xml:space="preserve">Metric 6.1.1: Indicador binario/ordinal de “grado de reutilización” de datos INES (por ejemplo, escala 1–4).  </w:t>
      </w:r>
    </w:p>
    <w:p>
      <w:pPr>
        <w:pStyle w:val="ListBullet"/>
        <w:keepLines w:val="1"/>
        <w:widowControl w:val="1"/>
      </w:pPr>
      <w:r>
        <w:t>PRAGMATIC: P: Media, R: Alta, A: Alta, G: Media, M: Media, P: Media, T: Alta, I: Media, C: Alta.</w:t>
      </w:r>
    </w:p>
    <w:p>
      <w:r>
        <w:rPr>
          <w:b/>
        </w:rPr>
        <w:t>Question 6.2</w:t>
      </w:r>
      <w:r>
        <w:t>: ¿En qué medida se emplean herramientas del CCN (PILAR, LUCÍA) o GRC para soportar ENS?</w:t>
      </w:r>
    </w:p>
    <w:p>
      <w:pPr>
        <w:pStyle w:val="ListBullet"/>
        <w:keepLines w:val="1"/>
        <w:keepNext w:val="1"/>
        <w:widowControl w:val="1"/>
      </w:pPr>
      <w:r>
        <w:t xml:space="preserve">Metric 6.2.1: Porcentaje de procesos ENS soportados por herramientas específicas.  </w:t>
      </w:r>
    </w:p>
    <w:p>
      <w:pPr>
        <w:pStyle w:val="ListBullet"/>
        <w:keepLines w:val="1"/>
        <w:widowControl w:val="1"/>
      </w:pPr>
      <w:r>
        <w:t>PRAGMATIC: P: Media, R: Media, A: Media, G: Media, M: Media, P: Media, T: Media, I: Alta, C: Media.</w:t>
      </w:r>
    </w:p>
    <w:p>
      <w:pPr>
        <w:pStyle w:val="Heading3"/>
        <w:keepNext/>
        <w:keepLines/>
      </w:pPr>
      <w:r>
        <w:t>5.7. Inversión, ROI y apetito de riesgo</w:t>
      </w:r>
    </w:p>
    <w:p>
      <w:r>
        <w:rPr>
          <w:b/>
        </w:rPr>
        <w:t>Goal 7</w:t>
      </w:r>
      <w:r>
        <w:t>: Alinear la inversión en seguridad con el nivel de riesgo y maximizar el retorno (en términos de pérdidas evitadas y resiliencia).[web:20][web:33][web:35]</w:t>
      </w:r>
    </w:p>
    <w:p>
      <w:r>
        <w:rPr>
          <w:b/>
        </w:rPr>
        <w:t>Question 7.1</w:t>
      </w:r>
      <w:r>
        <w:t>: ¿Es la inversión en seguridad coherente con el perfil de riesgo y con ENS/NIS2?</w:t>
      </w:r>
    </w:p>
    <w:p>
      <w:pPr>
        <w:pStyle w:val="ListBullet"/>
        <w:keepLines w:val="1"/>
        <w:keepNext w:val="1"/>
        <w:widowControl w:val="1"/>
      </w:pPr>
      <w:r>
        <w:t xml:space="preserve">Metric 7.1.1: % presupuesto TIC en seguridad comparado con sector y criticidad.  </w:t>
      </w:r>
    </w:p>
    <w:p>
      <w:pPr>
        <w:pStyle w:val="ListBullet"/>
        <w:keepLines w:val="1"/>
        <w:widowControl w:val="1"/>
      </w:pPr>
      <w:r>
        <w:t>PRAGMATIC: P: Media, R: Alta, A: Media, G: Media, M: Alta, P: Alta, T: Media, I: Alta, C: Alta.</w:t>
      </w:r>
    </w:p>
    <w:p>
      <w:r>
        <w:rPr>
          <w:b/>
        </w:rPr>
        <w:t>Question 7.2</w:t>
      </w:r>
      <w:r>
        <w:t>: ¿Cuál es el ROI estimado de la seguridad?</w:t>
      </w:r>
    </w:p>
    <w:p>
      <w:pPr>
        <w:pStyle w:val="ListBullet"/>
        <w:keepLines w:val="1"/>
        <w:keepNext w:val="1"/>
        <w:widowControl w:val="1"/>
      </w:pPr>
      <w:r>
        <w:t xml:space="preserve">Metric 7.2.1: ROI básico = (beneficio estimado – gasto seguridad) / gasto seguridad, según plantilla Excel.  </w:t>
      </w:r>
    </w:p>
    <w:p>
      <w:pPr>
        <w:pStyle w:val="ListBullet"/>
        <w:keepLines w:val="1"/>
        <w:widowControl w:val="1"/>
      </w:pPr>
      <w:r>
        <w:t>PRAGMATIC: P: Alta (si se nutre de buenas estimaciones), R: Alta, A: Alta, G: Media, M: Media, P: Media, T: Media, I: Media, C: Media.</w:t>
      </w:r>
    </w:p>
    <w:p>
      <w:pPr>
        <w:pStyle w:val="Heading3"/>
        <w:keepNext/>
        <w:keepLines/>
      </w:pPr>
      <w:r>
        <w:t>5.8. Riesgos emergentes (IA, post‑cuántico, cibercrisis avanzada)</w:t>
      </w:r>
    </w:p>
    <w:p>
      <w:r>
        <w:rPr>
          <w:b/>
        </w:rPr>
        <w:t>Goal 8</w:t>
      </w:r>
      <w:r>
        <w:t>: Preparar a la organización para amenazas emergentes (computación cuántica, IA, ataques avanzados) en coherencia con el principio de actualización permanente del ENS y las exigencias de NIS2.[web:37][web:21][web:24][web:27]</w:t>
      </w:r>
    </w:p>
    <w:p>
      <w:r>
        <w:rPr>
          <w:b/>
        </w:rPr>
        <w:t>Question 8.1</w:t>
      </w:r>
      <w:r>
        <w:t>: ¿Se ha evaluado el impacto de la computación cuántica en la criptografía en uso?</w:t>
      </w:r>
    </w:p>
    <w:p>
      <w:pPr>
        <w:pStyle w:val="ListBullet"/>
        <w:keepLines w:val="1"/>
        <w:keepNext w:val="1"/>
        <w:widowControl w:val="1"/>
      </w:pPr>
      <w:r>
        <w:t xml:space="preserve">Metric 8.1.1: Estado de preparación post‑cuántica (escala ordinal: no considerado / estudio / plan / ejecución).  </w:t>
      </w:r>
    </w:p>
    <w:p>
      <w:pPr>
        <w:pStyle w:val="ListBullet"/>
        <w:keepLines w:val="1"/>
        <w:widowControl w:val="1"/>
      </w:pPr>
      <w:r>
        <w:t>PRAGMATIC: P: Alta (a largo plazo), R: Media, A: Alta, G: Alta, M: Media, P: Media, T: Baja, I: Alta, C: Media.</w:t>
      </w:r>
    </w:p>
    <w:p>
      <w:r>
        <w:rPr>
          <w:b/>
        </w:rPr>
        <w:t>Question 8.2</w:t>
      </w:r>
      <w:r>
        <w:t>: ¿Se gestionan riesgos asociados a IA (datos, modelos, decisiones)?</w:t>
      </w:r>
    </w:p>
    <w:p>
      <w:pPr>
        <w:pStyle w:val="ListBullet"/>
        <w:keepLines w:val="1"/>
        <w:keepNext w:val="1"/>
        <w:widowControl w:val="1"/>
      </w:pPr>
      <w:r>
        <w:t xml:space="preserve">Metric 8.2.1: Nº de sistemas basados en IA con evaluación formal de riesgos de seguridad y privacidad completada.  </w:t>
      </w:r>
    </w:p>
    <w:p>
      <w:pPr>
        <w:pStyle w:val="ListBullet"/>
        <w:keepLines w:val="1"/>
        <w:widowControl w:val="1"/>
      </w:pPr>
      <w:r>
        <w:t>PRAGMATIC: P: Media, R: Alta, A: Alta, G: Media, M: Media, P: Media, T: Media, I: Media, C: Media.</w:t>
      </w:r>
    </w:p>
    <w:p>
      <w:pPr>
        <w:pStyle w:val="Heading2"/>
        <w:keepNext/>
        <w:keepLines/>
      </w:pPr>
      <w:r>
        <w:rPr>
          <w:color w:val="0066CC"/>
        </w:rPr>
        <w:t>6. Uso del marco en el ciclo ENS–INES</w:t>
      </w:r>
    </w:p>
    <w:p>
      <w:r>
        <w:t>El marco GQM + PRAGMATIC se integra así en el ciclo anual:</w:t>
      </w:r>
    </w:p>
    <w:p>
      <w:pPr>
        <w:pStyle w:val="ListNumber"/>
        <w:keepLines w:val="1"/>
        <w:keepNext w:val="1"/>
        <w:widowControl w:val="1"/>
      </w:pPr>
      <w:r>
        <w:t xml:space="preserve">Definir objetivos ENS–INES prioritarios para el ejercicio.  </w:t>
      </w:r>
    </w:p>
    <w:p>
      <w:pPr>
        <w:pStyle w:val="ListNumber"/>
        <w:keepLines w:val="1"/>
        <w:keepNext w:val="1"/>
        <w:widowControl w:val="1"/>
      </w:pPr>
      <w:r>
        <w:t xml:space="preserve">Seleccionar y/o ajustar las métricas GQM correspondientes.  </w:t>
      </w:r>
    </w:p>
    <w:p>
      <w:pPr>
        <w:pStyle w:val="ListNumber"/>
        <w:keepLines w:val="1"/>
        <w:keepNext w:val="1"/>
        <w:widowControl w:val="1"/>
      </w:pPr>
      <w:r>
        <w:t xml:space="preserve">Evaluar cada métrica con PRAGMATIC para priorizar las más útiles.  </w:t>
      </w:r>
    </w:p>
    <w:p>
      <w:pPr>
        <w:pStyle w:val="ListNumber"/>
        <w:keepLines w:val="1"/>
        <w:keepNext w:val="1"/>
        <w:widowControl w:val="1"/>
      </w:pPr>
      <w:r>
        <w:t xml:space="preserve">Recopilar datos (apoyándose en INES, auditorías, herramientas).  </w:t>
      </w:r>
    </w:p>
    <w:p>
      <w:pPr>
        <w:pStyle w:val="ListNumber"/>
        <w:keepLines w:val="1"/>
        <w:keepNext w:val="1"/>
        <w:widowControl w:val="1"/>
      </w:pPr>
      <w:r>
        <w:t xml:space="preserve">Analizar resultados, identificar brechas y acciones.  </w:t>
      </w:r>
    </w:p>
    <w:p>
      <w:pPr>
        <w:pStyle w:val="ListNumber"/>
        <w:keepLines w:val="1"/>
        <w:widowControl w:val="1"/>
      </w:pPr>
      <w:r>
        <w:t>Revisar anualmente el set de métricas, eliminando las de bajo valor PRAGMATIC.</w:t>
      </w:r>
    </w:p>
    <w:p>
      <w:r>
        <w:t>Si una métrica puntúa bajo en medio PRAGMATIC y nadie llora al eliminarla, probablemente nunca debió existir.</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