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INES–ENS</w:t>
      </w:r>
    </w:p>
    <w:p>
      <w:r>
        <w:t>Cómo convertir un cuestionario en un instrumento serio de gobierno del riesgo, sin perder del todo el sentido del humor.</w:t>
      </w:r>
    </w:p>
    <w:p>
      <w:pPr>
        <w:pStyle w:val="Heading2"/>
        <w:keepNext/>
        <w:keepLines/>
      </w:pPr>
      <w:r>
        <w:rPr>
          <w:color w:val="0066CC"/>
        </w:rPr>
        <w:t>1. Propósito y alcance</w:t>
      </w:r>
    </w:p>
    <w:p>
      <w:r>
        <w:t xml:space="preserve">Esta guía explica cómo aplicar la Encuesta Integral INES–ENS para evaluar el estado de la seguridad de la información, la madurez y la resiliencia digital en organizaciones sometidas (o cercanas) al Esquema Nacional de Seguridad.[web:8][web:37][web:39] El instrumento está alineado con el RD 311/2022, la obligación de evaluación periódica del estado de seguridad y el marco de métricas e indicadores recogido en las guías CCN‑STIC 815 y 824.[web:20][web:33][web:38]  </w:t>
      </w:r>
    </w:p>
    <w:p>
      <w:r>
        <w:t>La encuesta puede utilizarse en administraciones públicas, entidades del sector público institucional y empresas privadas proveedoras de servicios al sector público o afectadas por ENS y NIS2.[web:35][web:21][web:24][web:27] El enfoque metodológico permite su uso tanto en autoevaluación como en ejercicios coordinados por órganos transversales (por ejemplo, una consejería, un ministerio o una unidad corporativa de ciberseguridad).</w:t>
      </w:r>
    </w:p>
    <w:p>
      <w:pPr>
        <w:pStyle w:val="Heading2"/>
        <w:keepNext/>
        <w:keepLines/>
      </w:pPr>
      <w:r>
        <w:rPr>
          <w:color w:val="0066CC"/>
        </w:rPr>
        <w:t>2. Principios de diseño</w:t>
      </w:r>
    </w:p>
    <w:p>
      <w:r>
        <w:t>Se han seguido varios principios rectores:</w:t>
      </w:r>
    </w:p>
    <w:p>
      <w:pPr>
        <w:pStyle w:val="ListBullet"/>
        <w:keepLines w:val="1"/>
        <w:keepNext w:val="1"/>
        <w:widowControl w:val="1"/>
      </w:pPr>
      <w:r>
        <w:t xml:space="preserve">Alineamiento normativo: cada bloque se fundamenta en obligaciones y recomendaciones del ENS y sus guías asociadas (808, 815, 817, 824, 802), así como en el RD 311/2022 y perfiles de cumplimiento.[web:18][web:30][web:36][web:38][web:37]  </w:t>
      </w:r>
    </w:p>
    <w:p>
      <w:pPr>
        <w:pStyle w:val="ListBullet"/>
        <w:keepLines w:val="1"/>
        <w:keepNext w:val="1"/>
        <w:widowControl w:val="1"/>
      </w:pPr>
      <w:r>
        <w:t xml:space="preserve">Orientación a indicadores: las preguntas están pensadas para alimentar indicadores cuantitativos y cualitativos coherentes con el marco INES, incluyendo grado de implantación, eficacia, eficiencia e impacto de incidentes.[web:8][web:20][web:33]  </w:t>
      </w:r>
    </w:p>
    <w:p>
      <w:pPr>
        <w:pStyle w:val="ListBullet"/>
        <w:keepLines w:val="1"/>
        <w:keepNext w:val="1"/>
        <w:widowControl w:val="1"/>
      </w:pPr>
      <w:r>
        <w:t xml:space="preserve">Escalabilidad: la estructura admite su uso en entidades pequeñas (lectura directa) y grandes organizaciones (agregación por unidades, servicios o sistemas).  </w:t>
      </w:r>
    </w:p>
    <w:p>
      <w:pPr>
        <w:pStyle w:val="ListBullet"/>
        <w:keepLines w:val="1"/>
        <w:widowControl w:val="1"/>
      </w:pPr>
      <w:r>
        <w:t>Conversación, no interrogatorio: el tono, aunque formal, busca estimular respuestas honestas y reflexión interna, evitando la mera respuesta “para quedar bien”.</w:t>
      </w:r>
    </w:p>
    <w:p>
      <w:pPr>
        <w:pStyle w:val="Heading2"/>
        <w:keepNext/>
        <w:keepLines/>
      </w:pPr>
      <w:r>
        <w:rPr>
          <w:color w:val="0066CC"/>
        </w:rPr>
        <w:t>3. Estructura de la encuesta y lógica de secciones</w:t>
      </w:r>
    </w:p>
    <w:p>
      <w:r>
        <w:t>La encuesta se divide en 11 secciones, cada una vinculada a dimensiones clave de ENS e INES:</w:t>
      </w:r>
    </w:p>
    <w:p>
      <w:pPr>
        <w:pStyle w:val="ListNumber"/>
        <w:keepLines w:val="1"/>
        <w:keepNext w:val="1"/>
        <w:widowControl w:val="1"/>
      </w:pPr>
      <w:r>
        <w:t xml:space="preserve">Información general de la organización: variables de contexto (sector, tamaño, rol, categoría de sistemas), necesarias para segmentar resultados y ajustar expectativas.  </w:t>
      </w:r>
    </w:p>
    <w:p>
      <w:pPr>
        <w:pStyle w:val="ListNumber"/>
        <w:keepLines w:val="1"/>
        <w:keepNext w:val="1"/>
        <w:widowControl w:val="1"/>
      </w:pPr>
      <w:r>
        <w:t xml:space="preserve">Gobierno y estrategia: elementos de alto nivel previstos en ENS (política, responsabilidades, estrategia, reporting), corazón de la madurez de seguridad.[web:37][web:41]  </w:t>
      </w:r>
    </w:p>
    <w:p>
      <w:pPr>
        <w:pStyle w:val="ListNumber"/>
        <w:keepLines w:val="1"/>
        <w:keepNext w:val="1"/>
        <w:widowControl w:val="1"/>
      </w:pPr>
      <w:r>
        <w:t xml:space="preserve">Alcance, perfiles y certificación: cómo se aplica ENS en la práctica, si se han adoptado perfiles, y el grado de conformidad formal.[web:37][web:40][web:38]  </w:t>
      </w:r>
    </w:p>
    <w:p>
      <w:pPr>
        <w:pStyle w:val="ListNumber"/>
        <w:keepLines w:val="1"/>
        <w:keepNext w:val="1"/>
        <w:widowControl w:val="1"/>
      </w:pPr>
      <w:r>
        <w:t xml:space="preserve">Métricas de implantación: grado de implementación de medidas ENS, frecuencia de revisión y nivel de automatización, siguiendo CCN‑STIC 815 y 824.[web:20][web:33][web:36]  </w:t>
      </w:r>
    </w:p>
    <w:p>
      <w:pPr>
        <w:pStyle w:val="ListNumber"/>
        <w:keepLines w:val="1"/>
        <w:keepNext w:val="1"/>
        <w:widowControl w:val="1"/>
      </w:pPr>
      <w:r>
        <w:t xml:space="preserve">Métricas de eficacia y eficiencia: indicadores de resultados, costes y rendimiento.[web:30][web:33]  </w:t>
      </w:r>
    </w:p>
    <w:p>
      <w:pPr>
        <w:pStyle w:val="ListNumber"/>
        <w:keepLines w:val="1"/>
        <w:keepNext w:val="1"/>
        <w:widowControl w:val="1"/>
      </w:pPr>
      <w:r>
        <w:t xml:space="preserve">Gestión de ciberincidentes: procesos, métricas e integración con CCN‑CERT y NIS2, basados en CCN‑STIC 817.[web:30][web:32]  </w:t>
      </w:r>
    </w:p>
    <w:p>
      <w:pPr>
        <w:pStyle w:val="ListNumber"/>
        <w:keepLines w:val="1"/>
        <w:keepNext w:val="1"/>
        <w:widowControl w:val="1"/>
      </w:pPr>
      <w:r>
        <w:t xml:space="preserve">Interconexiones y proveedores: alineado con ENS, extensión de RD 311/2022 a proveedores y espíritu NIS2 (cadena de suministro).[web:35][web:21][web:24][web:27]  </w:t>
      </w:r>
    </w:p>
    <w:p>
      <w:pPr>
        <w:pStyle w:val="ListNumber"/>
        <w:keepLines w:val="1"/>
        <w:keepNext w:val="1"/>
        <w:widowControl w:val="1"/>
      </w:pPr>
      <w:r>
        <w:t xml:space="preserve">Madurez de gestión: escala tipo CMM que permite derivar un Índice Global de Madurez (IGM).  </w:t>
      </w:r>
    </w:p>
    <w:p>
      <w:pPr>
        <w:pStyle w:val="ListNumber"/>
        <w:keepLines w:val="1"/>
        <w:keepNext w:val="1"/>
        <w:widowControl w:val="1"/>
      </w:pPr>
      <w:r>
        <w:t xml:space="preserve">Uso de INES y herramientas: captura el grado de interiorización del propio instrumento nacional.  </w:t>
      </w:r>
    </w:p>
    <w:p>
      <w:pPr>
        <w:pStyle w:val="ListNumber"/>
        <w:keepLines w:val="1"/>
        <w:keepNext w:val="1"/>
        <w:widowControl w:val="1"/>
      </w:pPr>
      <w:r>
        <w:t xml:space="preserve">Inversión y retorno: variables necesarias para análisis de ROI y para alimentar modelos actuariales básicos.  </w:t>
      </w:r>
    </w:p>
    <w:p>
      <w:pPr>
        <w:pStyle w:val="ListNumber"/>
        <w:keepLines w:val="1"/>
        <w:widowControl w:val="1"/>
      </w:pPr>
      <w:r>
        <w:t>Visión de futuro y preguntas abiertas: espacio para riesgos emergentes (IA, post‑cuántico) y propuestas propositivas.</w:t>
      </w:r>
    </w:p>
    <w:p>
      <w:pPr>
        <w:pStyle w:val="Heading2"/>
        <w:keepNext/>
        <w:keepLines/>
      </w:pPr>
      <w:r>
        <w:rPr>
          <w:color w:val="0066CC"/>
        </w:rPr>
        <w:t>4. Modalidades de aplicación</w:t>
      </w:r>
    </w:p>
    <w:p>
      <w:r>
        <w:t>Se proponen tres modalidades principales:</w:t>
      </w:r>
    </w:p>
    <w:p>
      <w:pPr>
        <w:pStyle w:val="Heading3"/>
        <w:keepNext/>
        <w:keepLines/>
      </w:pPr>
      <w:r>
        <w:t>4.1. Autoevaluación individual</w:t>
      </w:r>
    </w:p>
    <w:p>
      <w:r>
        <w:t>La organización responde por sí misma, habitualmente a nivel corporativo o de unidad de negocio. Es apropiada para:</w:t>
      </w:r>
    </w:p>
    <w:p>
      <w:pPr>
        <w:pStyle w:val="ListBullet"/>
        <w:keepLines w:val="1"/>
        <w:keepNext w:val="1"/>
        <w:widowControl w:val="1"/>
      </w:pPr>
      <w:r>
        <w:t xml:space="preserve">Obtener una primera fotografía antes de auditorías o proyectos ENS.  </w:t>
      </w:r>
    </w:p>
    <w:p>
      <w:pPr>
        <w:pStyle w:val="ListBullet"/>
        <w:keepLines w:val="1"/>
        <w:widowControl w:val="1"/>
      </w:pPr>
      <w:r>
        <w:t xml:space="preserve">Revisar la evolución anual (especialmente en conjunción con INES).  </w:t>
      </w:r>
    </w:p>
    <w:p>
      <w:r>
        <w:t>En esta modalidad, se recomienda que el cuestionario sea cumplimentado de forma colaborativa por seguridad, TI, negocio y, cuando proceda, continuidad de negocio.</w:t>
      </w:r>
    </w:p>
    <w:p>
      <w:pPr>
        <w:pStyle w:val="Heading3"/>
        <w:keepNext/>
        <w:keepLines/>
      </w:pPr>
      <w:r>
        <w:t>4.2. Ejercicio coordinado (multi‑entidad o multi‑unidad)</w:t>
      </w:r>
    </w:p>
    <w:p>
      <w:r>
        <w:t>Un organismo coordinador (por ejemplo, una consejería o ministerio) envía la encuesta a varias entidades dependientes:</w:t>
      </w:r>
    </w:p>
    <w:p>
      <w:pPr>
        <w:pStyle w:val="ListBullet"/>
        <w:keepLines w:val="1"/>
        <w:keepNext w:val="1"/>
        <w:widowControl w:val="1"/>
      </w:pPr>
      <w:r>
        <w:t xml:space="preserve">El objetivo es obtener una visión agregada y comparativa de madurez ENS–INES.  </w:t>
      </w:r>
    </w:p>
    <w:p>
      <w:pPr>
        <w:pStyle w:val="ListBullet"/>
        <w:keepLines w:val="1"/>
        <w:widowControl w:val="1"/>
      </w:pPr>
      <w:r>
        <w:t>Posteriormente se pueden identificar perfiles de cumplimiento, necesidades de soporte y prioridades comunes.</w:t>
      </w:r>
    </w:p>
    <w:p>
      <w:r>
        <w:t>Conviene establecer un calendario y un repositorio central (por ejemplo, una herramienta GRC o un simple repositorio de ficheros) para consolidar resultados.</w:t>
      </w:r>
    </w:p>
    <w:p>
      <w:pPr>
        <w:pStyle w:val="Heading3"/>
        <w:keepNext/>
        <w:keepLines/>
      </w:pPr>
      <w:r>
        <w:t>4.3. Revisión externa o auditoría</w:t>
      </w:r>
    </w:p>
    <w:p>
      <w:r>
        <w:t>Equipos de auditoría interna o externa pueden utilizar la encuesta como guion estructurado de entrevistas y revisión documental:</w:t>
      </w:r>
    </w:p>
    <w:p>
      <w:pPr>
        <w:pStyle w:val="ListBullet"/>
        <w:keepLines w:val="1"/>
        <w:keepNext w:val="1"/>
        <w:widowControl w:val="1"/>
      </w:pPr>
      <w:r>
        <w:t xml:space="preserve">No sustituye las guías de auditoría CCN‑STIC 802, pero las complementa con una capa de percepción y de visión estratégica.[web:38]  </w:t>
      </w:r>
    </w:p>
    <w:p>
      <w:pPr>
        <w:pStyle w:val="ListBullet"/>
        <w:keepLines w:val="1"/>
        <w:widowControl w:val="1"/>
      </w:pPr>
      <w:r>
        <w:t>Resulta útil para contrastar “lo que dicen los documentos” con “cómo se percibe la realidad” en las áreas responsables.</w:t>
      </w:r>
    </w:p>
    <w:p>
      <w:pPr>
        <w:pStyle w:val="Heading2"/>
        <w:keepNext/>
        <w:keepLines/>
      </w:pPr>
      <w:r>
        <w:rPr>
          <w:color w:val="0066CC"/>
        </w:rPr>
        <w:t>5. Escalas de respuesta e interpretación</w:t>
      </w:r>
    </w:p>
    <w:p>
      <w:r>
        <w:t>Las preguntas emplean varios tipos de escala:</w:t>
      </w:r>
    </w:p>
    <w:p>
      <w:pPr>
        <w:pStyle w:val="ListBullet"/>
        <w:keepLines w:val="1"/>
        <w:keepNext w:val="1"/>
        <w:widowControl w:val="1"/>
      </w:pPr>
      <w:r>
        <w:t xml:space="preserve">Opción múltiple categórica: permite análisis estadístico sencillo y comparaciones entre organizaciones.  </w:t>
      </w:r>
    </w:p>
    <w:p>
      <w:pPr>
        <w:pStyle w:val="ListBullet"/>
        <w:keepLines w:val="1"/>
        <w:keepNext w:val="1"/>
        <w:widowControl w:val="1"/>
      </w:pPr>
      <w:r>
        <w:t xml:space="preserve">Escala ordinal (1–5) de madurez: diseñada para derivar un Índice Global de Madurez (IGM) por dominio y global.  </w:t>
      </w:r>
    </w:p>
    <w:p>
      <w:pPr>
        <w:pStyle w:val="ListBullet"/>
        <w:keepLines w:val="1"/>
        <w:widowControl w:val="1"/>
      </w:pPr>
      <w:r>
        <w:t>Preguntas abiertas: permiten capturar matices y casos singulares no reducibles a números.</w:t>
      </w:r>
    </w:p>
    <w:p>
      <w:pPr>
        <w:pStyle w:val="Heading3"/>
        <w:keepNext/>
        <w:keepLines/>
      </w:pPr>
      <w:r>
        <w:t>5.1. Escala de madurez (1–5)</w:t>
      </w:r>
    </w:p>
    <w:p>
      <w:r>
        <w:t>La escala propuesta se inspira en modelos CMM y es compatible con los enfoques utilizados por el CCN en guías ENS:</w:t>
      </w:r>
    </w:p>
    <w:p>
      <w:pPr>
        <w:pStyle w:val="ListNumber"/>
        <w:keepLines w:val="1"/>
        <w:keepNext w:val="1"/>
        <w:widowControl w:val="1"/>
      </w:pPr>
      <w:r>
        <w:t xml:space="preserve">Inicial: procesos informales, dependientes de personas concretas.  </w:t>
      </w:r>
    </w:p>
    <w:p>
      <w:pPr>
        <w:pStyle w:val="ListNumber"/>
        <w:keepLines w:val="1"/>
        <w:keepNext w:val="1"/>
        <w:widowControl w:val="1"/>
      </w:pPr>
      <w:r>
        <w:t xml:space="preserve">Repetible: ciertas prácticas se repiten, aunque sin normalización completa.  </w:t>
      </w:r>
    </w:p>
    <w:p>
      <w:pPr>
        <w:pStyle w:val="ListNumber"/>
        <w:keepLines w:val="1"/>
        <w:keepNext w:val="1"/>
        <w:widowControl w:val="1"/>
      </w:pPr>
      <w:r>
        <w:t xml:space="preserve">Definido: procesos documentados, difundidos y aplicados de forma general.  </w:t>
      </w:r>
    </w:p>
    <w:p>
      <w:pPr>
        <w:pStyle w:val="ListNumber"/>
        <w:keepLines w:val="1"/>
        <w:keepNext w:val="1"/>
        <w:widowControl w:val="1"/>
      </w:pPr>
      <w:r>
        <w:t xml:space="preserve">Gestionado y medido: se establecen indicadores, objetivos y seguimiento.  </w:t>
      </w:r>
    </w:p>
    <w:p>
      <w:pPr>
        <w:pStyle w:val="ListNumber"/>
        <w:keepLines w:val="1"/>
        <w:widowControl w:val="1"/>
      </w:pPr>
      <w:r>
        <w:t>Optimizado: se evalúa y mejora continuamente, con ajustes proactivos.</w:t>
      </w:r>
    </w:p>
    <w:p>
      <w:r>
        <w:t>La conversión a un IGM se detalla en la plantilla de Excel, pero conceptualmente se trata de la media ponderada de las puntuaciones por dominio.</w:t>
      </w:r>
    </w:p>
    <w:p>
      <w:pPr>
        <w:pStyle w:val="Heading2"/>
        <w:keepNext/>
        <w:keepLines/>
      </w:pPr>
      <w:r>
        <w:rPr>
          <w:color w:val="0066CC"/>
        </w:rPr>
        <w:t>6. Frecuencia recomendada y ciclo anual ENS–INES</w:t>
      </w:r>
    </w:p>
    <w:p>
      <w:r>
        <w:t>La metodología se alinea con el ciclo anual de evaluación exigido por ENS:</w:t>
      </w:r>
    </w:p>
    <w:p>
      <w:pPr>
        <w:pStyle w:val="ListNumber"/>
        <w:keepLines w:val="1"/>
        <w:keepNext w:val="1"/>
        <w:widowControl w:val="1"/>
      </w:pPr>
      <w:r>
        <w:t xml:space="preserve">Realización de la encuesta al menos una vez al año, preferentemente antes de la preparación del Informe de Estado de Seguridad e INES.[web:8][web:33]  </w:t>
      </w:r>
    </w:p>
    <w:p>
      <w:pPr>
        <w:pStyle w:val="ListNumber"/>
        <w:keepLines w:val="1"/>
        <w:keepNext w:val="1"/>
        <w:widowControl w:val="1"/>
      </w:pPr>
      <w:r>
        <w:t xml:space="preserve">Consolidación y análisis de resultados a nivel de entidad u órgano coordinador.  </w:t>
      </w:r>
    </w:p>
    <w:p>
      <w:pPr>
        <w:pStyle w:val="ListNumber"/>
        <w:keepLines w:val="1"/>
        <w:keepNext w:val="1"/>
        <w:widowControl w:val="1"/>
      </w:pPr>
      <w:r>
        <w:t xml:space="preserve">Identificación de áreas de mejora y priorización de acciones para el siguiente ejercicio.  </w:t>
      </w:r>
    </w:p>
    <w:p>
      <w:pPr>
        <w:pStyle w:val="ListNumber"/>
        <w:keepLines w:val="1"/>
        <w:keepNext w:val="1"/>
        <w:widowControl w:val="1"/>
      </w:pPr>
      <w:r>
        <w:t xml:space="preserve">Actualización de la planificación (planes directores, planes de adecuación, etc.).  </w:t>
      </w:r>
    </w:p>
    <w:p>
      <w:pPr>
        <w:pStyle w:val="ListNumber"/>
        <w:keepLines w:val="1"/>
        <w:widowControl w:val="1"/>
      </w:pPr>
      <w:r>
        <w:t>Preparación de evidencias para auditorías y para el informe INES.</w:t>
      </w:r>
    </w:p>
    <w:p>
      <w:r>
        <w:t>En organizaciones con alta exposición al riesgo, puede ser recomendable un ciclo semestral para las secciones más dinámicas (incidentes, proveedores, IA).</w:t>
      </w:r>
    </w:p>
    <w:p>
      <w:pPr>
        <w:pStyle w:val="Heading2"/>
        <w:keepNext/>
        <w:keepLines/>
      </w:pPr>
      <w:r>
        <w:rPr>
          <w:color w:val="0066CC"/>
        </w:rPr>
        <w:t>7. Tratamiento de la información y confidencialidad</w:t>
      </w:r>
    </w:p>
    <w:p>
      <w:r>
        <w:t>Los resultados de la encuesta pueden contener información sensible sobre debilidades de seguridad. Se recomienda:</w:t>
      </w:r>
    </w:p>
    <w:p>
      <w:pPr>
        <w:pStyle w:val="ListBullet"/>
        <w:keepLines w:val="1"/>
        <w:keepNext w:val="1"/>
        <w:widowControl w:val="1"/>
      </w:pPr>
      <w:r>
        <w:t xml:space="preserve">Definir claramente quién puede ver los resultados individuales.  </w:t>
      </w:r>
    </w:p>
    <w:p>
      <w:pPr>
        <w:pStyle w:val="ListBullet"/>
        <w:keepLines w:val="1"/>
        <w:keepNext w:val="1"/>
        <w:widowControl w:val="1"/>
      </w:pPr>
      <w:r>
        <w:t xml:space="preserve">Anonimizar los datos en análisis agregados (por ejemplo, informar por tipos de entidad y no por nombre).  </w:t>
      </w:r>
    </w:p>
    <w:p>
      <w:pPr>
        <w:pStyle w:val="ListBullet"/>
        <w:keepLines w:val="1"/>
        <w:widowControl w:val="1"/>
      </w:pPr>
      <w:r>
        <w:t>Establecer reglas de uso: la finalidad principal es la mejora continua, no la penalización directa.</w:t>
      </w:r>
    </w:p>
    <w:p>
      <w:r>
        <w:t>Cuando se utilice la encuesta en contextos multi‑entidad coordinados por administraciones superiores, conviene firmar compromisos de confidencialidad y aclarar si habrá devoluciones de benchmarking.</w:t>
      </w:r>
    </w:p>
    <w:p>
      <w:pPr>
        <w:pStyle w:val="Heading2"/>
        <w:keepNext/>
        <w:keepLines/>
      </w:pPr>
      <w:r>
        <w:rPr>
          <w:color w:val="0066CC"/>
        </w:rPr>
        <w:t>8. Cómo derivar indicadores y cuadros de mando</w:t>
      </w:r>
    </w:p>
    <w:p>
      <w:r>
        <w:t>A partir de las respuestas, pueden obtenerse múltiples indicadores. Algunos ejemplos:</w:t>
      </w:r>
    </w:p>
    <w:p>
      <w:pPr>
        <w:pStyle w:val="ListBullet"/>
        <w:keepLines w:val="1"/>
        <w:keepNext w:val="1"/>
        <w:widowControl w:val="1"/>
      </w:pPr>
      <w:r>
        <w:t xml:space="preserve">Porcentaje de entidades con política de seguridad formalmente aprobada y revisada en 12 meses.  </w:t>
      </w:r>
    </w:p>
    <w:p>
      <w:pPr>
        <w:pStyle w:val="ListBullet"/>
        <w:keepLines w:val="1"/>
        <w:keepNext w:val="1"/>
        <w:widowControl w:val="1"/>
      </w:pPr>
      <w:r>
        <w:t xml:space="preserve">Distribución de categorías ENS de sistemas (Básica, Media, Alta).  </w:t>
      </w:r>
    </w:p>
    <w:p>
      <w:pPr>
        <w:pStyle w:val="ListBullet"/>
        <w:keepLines w:val="1"/>
        <w:keepNext w:val="1"/>
        <w:widowControl w:val="1"/>
      </w:pPr>
      <w:r>
        <w:t xml:space="preserve">Nivel medio de madurez por dominio (riesgos, identidades, incidentes, continuidad, proveedores, métricas).  </w:t>
      </w:r>
    </w:p>
    <w:p>
      <w:pPr>
        <w:pStyle w:val="ListBullet"/>
        <w:keepLines w:val="1"/>
        <w:keepNext w:val="1"/>
        <w:widowControl w:val="1"/>
      </w:pPr>
      <w:r>
        <w:t xml:space="preserve">Porcentaje de entidades que utilizan INES como herramienta de gestión interna, más allá del cumplimiento.  </w:t>
      </w:r>
    </w:p>
    <w:p>
      <w:pPr>
        <w:pStyle w:val="ListBullet"/>
        <w:keepLines w:val="1"/>
        <w:keepNext w:val="1"/>
        <w:widowControl w:val="1"/>
      </w:pPr>
      <w:r>
        <w:t xml:space="preserve">Media de recursos dedicados a seguridad (porcentaje de presupuesto TIC, personas equivalentes).  </w:t>
      </w:r>
    </w:p>
    <w:p>
      <w:pPr>
        <w:pStyle w:val="ListBullet"/>
        <w:keepLines w:val="1"/>
        <w:widowControl w:val="1"/>
      </w:pPr>
      <w:r>
        <w:t>Correlación entre madurez y frecuencia de incidentes graves, o entre inversión y percepción de ROI.</w:t>
      </w:r>
    </w:p>
    <w:p>
      <w:r>
        <w:t>La guía CCN‑STIC 815 propone clasificar las métricas en implantación, eficacia, eficiencia e impacto, esquema que la encuesta respeta.[web:20][web:33] El responsable metodológico puede concretar qué indicadores se utilizarán en cada ejercicio, en función de las prioridades del año.</w:t>
      </w:r>
    </w:p>
    <w:p>
      <w:pPr>
        <w:pStyle w:val="Heading2"/>
        <w:keepNext/>
        <w:keepLines/>
      </w:pPr>
      <w:r>
        <w:rPr>
          <w:color w:val="0066CC"/>
        </w:rPr>
        <w:t>9. Adaptaciones sectoriales</w:t>
      </w:r>
    </w:p>
    <w:p>
      <w:r>
        <w:t>Aunque la encuesta se ha diseñado para ser sector‑agnóstica, es razonable introducir:</w:t>
      </w:r>
    </w:p>
    <w:p>
      <w:pPr>
        <w:pStyle w:val="ListBullet"/>
        <w:keepLines w:val="1"/>
        <w:keepNext w:val="1"/>
        <w:widowControl w:val="1"/>
      </w:pPr>
      <w:r>
        <w:t xml:space="preserve">Preguntas específicas sobre regulación sectorial (sanidad, financiero, energía).  </w:t>
      </w:r>
    </w:p>
    <w:p>
      <w:pPr>
        <w:pStyle w:val="ListBullet"/>
        <w:keepLines w:val="1"/>
        <w:keepNext w:val="1"/>
        <w:widowControl w:val="1"/>
      </w:pPr>
      <w:r>
        <w:t xml:space="preserve">Elementos adicionales de NIS2 (para operadores esenciales e importantes).  </w:t>
      </w:r>
    </w:p>
    <w:p>
      <w:pPr>
        <w:pStyle w:val="ListBullet"/>
        <w:keepLines w:val="1"/>
        <w:widowControl w:val="1"/>
      </w:pPr>
      <w:r>
        <w:t xml:space="preserve">Referencias a marcos sectoriales (Índice SEIS en sanidad, por ejemplo).[web:12]  </w:t>
      </w:r>
    </w:p>
    <w:p>
      <w:r>
        <w:t>Estas adaptaciones deben conservar la numeración básica para permitir comparaciones, añadiendo secciones adicionales marcadas como “sectoriales”.</w:t>
      </w:r>
    </w:p>
    <w:p>
      <w:pPr>
        <w:pStyle w:val="Heading2"/>
        <w:keepNext/>
        <w:keepLines/>
      </w:pPr>
      <w:r>
        <w:rPr>
          <w:color w:val="0066CC"/>
        </w:rPr>
        <w:t>10. Limitaciones y advertencias</w:t>
      </w:r>
    </w:p>
    <w:p>
      <w:r>
        <w:t>Ninguna encuesta reemplaza una auditoría, un análisis de riesgos detallado ni una revisión técnica de vulnerabilidades. Lo que sí ofrece es:</w:t>
      </w:r>
    </w:p>
    <w:p>
      <w:pPr>
        <w:pStyle w:val="ListBullet"/>
        <w:keepLines w:val="1"/>
        <w:keepNext w:val="1"/>
        <w:widowControl w:val="1"/>
      </w:pPr>
      <w:r>
        <w:t xml:space="preserve">Una visión panorámica coherente con ENS–INES.  </w:t>
      </w:r>
    </w:p>
    <w:p>
      <w:pPr>
        <w:pStyle w:val="ListBullet"/>
        <w:keepLines w:val="1"/>
        <w:keepNext w:val="1"/>
        <w:widowControl w:val="1"/>
      </w:pPr>
      <w:r>
        <w:t xml:space="preserve">Una base cuantificable para decisiones estratégicas.  </w:t>
      </w:r>
    </w:p>
    <w:p>
      <w:pPr>
        <w:pStyle w:val="ListBullet"/>
        <w:keepLines w:val="1"/>
        <w:widowControl w:val="1"/>
      </w:pPr>
      <w:r>
        <w:t>Un lenguaje común entre seguridad, negocio y órganos de control.</w:t>
      </w:r>
    </w:p>
    <w:p>
      <w:r>
        <w:t>Por el camino, también ayuda a detectar un fenómeno clásico: la distancia entre el discurso oficial sobre la madurez de seguridad y la percepción de quienes están en primera línea.</w:t>
      </w:r>
    </w:p>
    <w:p>
      <w:pPr>
        <w:pStyle w:val="Heading2"/>
        <w:keepNext/>
        <w:keepLines/>
      </w:pPr>
      <w:r>
        <w:rPr>
          <w:color w:val="0066CC"/>
        </w:rPr>
        <w:t>11. Próximos pasos sugeridos</w:t>
      </w:r>
    </w:p>
    <w:p>
      <w:pPr>
        <w:pStyle w:val="ListNumber"/>
        <w:keepLines w:val="1"/>
        <w:keepNext w:val="1"/>
        <w:widowControl w:val="1"/>
      </w:pPr>
      <w:r>
        <w:t xml:space="preserve">Validar la encuesta con un pequeño grupo piloto dentro de la organización (o conjunto de entidades).  </w:t>
      </w:r>
    </w:p>
    <w:p>
      <w:pPr>
        <w:pStyle w:val="ListNumber"/>
        <w:keepLines w:val="1"/>
        <w:keepNext w:val="1"/>
        <w:widowControl w:val="1"/>
      </w:pPr>
      <w:r>
        <w:t xml:space="preserve">Ajustar redacción y ejemplos para maximizar la comprensión.  </w:t>
      </w:r>
    </w:p>
    <w:p>
      <w:pPr>
        <w:pStyle w:val="ListNumber"/>
        <w:keepLines w:val="1"/>
        <w:keepNext w:val="1"/>
        <w:widowControl w:val="1"/>
      </w:pPr>
      <w:r>
        <w:t xml:space="preserve">Implementar la captura de respuestas (herramienta de formularios, GRC, etc.).  </w:t>
      </w:r>
    </w:p>
    <w:p>
      <w:pPr>
        <w:pStyle w:val="ListNumber"/>
        <w:keepLines w:val="1"/>
        <w:keepNext w:val="1"/>
        <w:widowControl w:val="1"/>
      </w:pPr>
      <w:r>
        <w:t xml:space="preserve">Preparar el modelo de datos para análisis (idealmente exportable a la plantilla de Excel propuesta).  </w:t>
      </w:r>
    </w:p>
    <w:p>
      <w:pPr>
        <w:pStyle w:val="ListNumber"/>
        <w:keepLines w:val="1"/>
        <w:widowControl w:val="1"/>
      </w:pPr>
      <w:r>
        <w:t>Definir el calendario anual de uso de la encuesta en sincronía con INES y ENS.</w:t>
      </w:r>
    </w:p>
    <w:p>
      <w:r>
        <w:t>Si, tras varias iteraciones, el semáforo de madurez sigue en ámbar, la culpa ya no será de la encuesta.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