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Detallado Pregunta–Requisito Normativo ENS–INES</w:t>
      </w:r>
    </w:p>
    <w:p>
      <w:r>
        <w:t>Tabla de trazabilidad entre las preguntas de la Encuesta INES–ENS y sus principales referencias normativas y técnicas.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 Pregunta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 resumido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 ENS / RD 311/2022 / CCN‑STIC / otros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1–5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Contexto organizativo y categoría de sistemas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RD 311/2022, arts. 1–4, 6 (ámbito y definiciones), clasificación de sistemas[web:37][web:40]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6–7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Política de seguridad aprobada y alcance ENS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RD 311/2022, art. 11 (política de seguridad); ENS principios básicos[web:37][web:40]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8–9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Estrategia de seguridad y reporting a la dirección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RD 311/2022, art. 10 (responsabilidades), art. 37 (perfiles, conformidad); CCN‑STIC 824 (informes periódicos)[web:37][web:33][web:39]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Integración ENS–INES en gobernanza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RD 311/2022, cap. V (conformidad); CCN‑STIC 815 y 824 (indicadores y estado de seguridad)[web:37][web:20][web:33]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11–12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Alcance ENS y clasificación de sistemas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RD 311/2022, anexos (medidas por categoría), guías ENS de adecuación (806, 808)[web:18][web:36][web:40]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Perfiles de cumplimiento específicos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RD 311/2022, referencia a perfiles de cumplimiento; publicaciones CCN sobre perfiles sectoriales[web:37][web:40]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Certificación / declaración de conformidad ENS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RD 311/2022, cap. V; CCN‑STIC 809 (declaración y certificación de conformidad)[web:36][web:38]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Uso de INES para conformidad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CCN‑STIC 824 (Informe del Estado de Seguridad), proyecto INES; instrucción técnica de informe de estado de seguridad[web:8][web:33][web:38][web:39]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16–20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Implantación de medidas ENS y uso de guías CCN‑STIC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CCN‑STIC 815 (métricas e indicadores ENS), 808 (verificación), 802 (auditoría), 824 (indicadores para INES)[web:20][web:18][web:36][web:38][web:33]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21–25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Métricas de eficacia, eficiencia y continuidad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CCN‑STIC 815 (eficacia/eficiencia), 817 (gestión de ciberincidentes, anexo de métricas), ENS art. 35 (evaluación periódica)[web:30][web:20][web:33][web:37]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26–30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Gestión y métricas de ciberincidentes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CCN‑STIC 817 (gestión de ciberincidentes ENS), LUCÍA; intercambio de información con CCN‑CERT; NIS2 (notificación incidentes)[web:30][web:32][web:21][web:27]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31–35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Interconexiones, proveedores y cadena de suministro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ENS (medidas de interconexión y externalización), RD 311/2022 ámbito ampliado a proveedores, NIS2 (cadena de suministro y proveedores esenciales)[web:35][web:21][web:24][web:27][web:41]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36–42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Madurez de gestión (riesgos, identidades, incidentes, etc.)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CCN‑STIC 815 (modelo de madurez de métricas), CCN‑STIC 802 (auditoría con referencia a sistemas de métricas), marcos de gobernanza derivados del ENS[web:20][web:38][web:36]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43–47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Uso de INES, PILAR, LUCÍA y herramientas asociadas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CCN‑STIC 824 (uso de herramientas para exportar indicadores a INES), documentación CCN sobre PILAR y LUCÍA, proyecto INES[web:8][web:33][web:36]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48–52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Recursos, inversión y ROI en seguridad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CCN‑STIC 824 (esfuerzo humano y económico en seguridad), 815 (indicadores de eficiencia y KRIs), orientación ENS a gestión de riesgo basada en recursos[web:20][web:33][web:35]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53–54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Criptografía post‑cuántica y preparación futura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ENS (principios de actualización permanente, art. 39 RD 311/2022), recomendaciones CCN sobre evolución tecnológica[web:37][web:39]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55–56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IA y riesgos asociados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ENS (dimensiones de autenticidad y trazabilidad), extensión hacia tecnologías emergentes en el marco de actualización ENS; referencias NIS2 sobre gestión de riesgos y medidas técnicas organizativas[web:37][web:21][web:24][web:27]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57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Ejercicios de cibercrisis y resiliencia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CCN‑CERT BP/29 (cibercrisis en entidades locales), ENS (continuidad del servicio), guías de continuidad asociadas al ENS[web:36][web:37]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58–60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Preguntas abiertas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No corresponden a artículos específicos; complementan la evaluación cualitativa alineada con el espíritu del ENS y guías CCN‑STIC (mejora continua).[web:20][web:33][web:39]</w:t>
            </w:r>
          </w:p>
        </w:tc>
      </w:tr>
    </w:tbl>
    <w:p/>
    <w:p>
      <w:r>
        <w:t>Nota: este mapeo no pretende ser exhaustivo en cuanto a todos los artículos y anexos, sino señalar las referencias principales que justifican la existencia de cada bloque de preguntas.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