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IGM y ROI con enfoque GQM + PRAGMATIC</w:t>
      </w:r>
    </w:p>
    <w:p>
      <w:r>
        <w:t>Una hoja de cálculo que no solo calcula, sino que recuerda por qué está calculando.</w:t>
      </w:r>
    </w:p>
    <w:p>
      <w:pPr>
        <w:pStyle w:val="Heading2"/>
        <w:keepNext/>
        <w:keepLines/>
      </w:pPr>
      <w:r>
        <w:rPr>
          <w:color w:val="0066CC"/>
        </w:rPr>
        <w:t>1. Hojas propuestas</w:t>
      </w:r>
    </w:p>
    <w:p>
      <w:pPr>
        <w:pStyle w:val="ListNumber"/>
        <w:keepLines w:val="1"/>
        <w:keepNext w:val="1"/>
        <w:widowControl w:val="1"/>
      </w:pPr>
      <w:r>
        <w:t xml:space="preserve">Diccionario_Metricas: definición GQM + PRAGMATIC de cada métrica.  </w:t>
      </w:r>
    </w:p>
    <w:p>
      <w:pPr>
        <w:pStyle w:val="ListNumber"/>
        <w:keepLines w:val="1"/>
        <w:keepNext w:val="1"/>
        <w:widowControl w:val="1"/>
      </w:pPr>
      <w:r>
        <w:t xml:space="preserve">Datos_Encuesta: datos brutos (encuesta ENS–INES).  </w:t>
      </w:r>
    </w:p>
    <w:p>
      <w:pPr>
        <w:pStyle w:val="ListNumber"/>
        <w:keepLines w:val="1"/>
        <w:keepNext w:val="1"/>
        <w:widowControl w:val="1"/>
      </w:pPr>
      <w:r>
        <w:t xml:space="preserve">IGM_Madurez: cálculo de índices de madurez.  </w:t>
      </w:r>
    </w:p>
    <w:p>
      <w:pPr>
        <w:pStyle w:val="ListNumber"/>
        <w:keepLines w:val="1"/>
        <w:keepNext w:val="1"/>
        <w:widowControl w:val="1"/>
      </w:pPr>
      <w:r>
        <w:t xml:space="preserve">ROI_Seguridad: cálculo de ROI básico.  </w:t>
      </w:r>
    </w:p>
    <w:p>
      <w:pPr>
        <w:pStyle w:val="ListNumber"/>
        <w:keepLines w:val="1"/>
        <w:keepNext w:val="1"/>
        <w:widowControl w:val="1"/>
      </w:pPr>
      <w:r>
        <w:t xml:space="preserve">PRAGMATIC_Score: evaluación global de la “salud” del sistema de métricas.  </w:t>
      </w:r>
    </w:p>
    <w:p>
      <w:pPr>
        <w:pStyle w:val="ListNumber"/>
        <w:keepLines w:val="1"/>
        <w:widowControl w:val="1"/>
      </w:pPr>
      <w:r>
        <w:t>Cuadros_Mando: gráficos y tablas para directivos.</w:t>
      </w:r>
    </w:p>
    <w:p>
      <w:pPr>
        <w:pStyle w:val="Heading2"/>
        <w:keepNext/>
        <w:keepLines/>
      </w:pPr>
      <w:r>
        <w:rPr>
          <w:color w:val="0066CC"/>
        </w:rPr>
        <w:t>2. Hoja Diccionario_Metricas</w:t>
      </w:r>
    </w:p>
    <w:p>
      <w:r>
        <w:t>Columnas mínimas:</w:t>
      </w:r>
    </w:p>
    <w:p>
      <w:pPr>
        <w:pStyle w:val="ListBullet"/>
        <w:keepLines w:val="1"/>
        <w:keepNext w:val="1"/>
        <w:widowControl w:val="1"/>
      </w:pPr>
      <w:r>
        <w:t xml:space="preserve">ID_Metrica (ej. 2.2.1).  </w:t>
      </w:r>
    </w:p>
    <w:p>
      <w:pPr>
        <w:pStyle w:val="ListBullet"/>
        <w:keepLines w:val="1"/>
        <w:keepNext w:val="1"/>
        <w:widowControl w:val="1"/>
      </w:pPr>
      <w:r>
        <w:t xml:space="preserve">Dominio (Implantación, Incidentes, Proveedores, etc.).  </w:t>
      </w:r>
    </w:p>
    <w:p>
      <w:pPr>
        <w:pStyle w:val="ListBullet"/>
        <w:keepLines w:val="1"/>
        <w:keepNext w:val="1"/>
        <w:widowControl w:val="1"/>
      </w:pPr>
      <w:r>
        <w:t xml:space="preserve">Goal_GQM (referencia) y Question_GQM resumen.  </w:t>
      </w:r>
    </w:p>
    <w:p>
      <w:pPr>
        <w:pStyle w:val="ListBullet"/>
        <w:keepLines w:val="1"/>
        <w:keepNext w:val="1"/>
        <w:widowControl w:val="1"/>
      </w:pPr>
      <w:r>
        <w:t xml:space="preserve">Definicion_Metrica (texto).  </w:t>
      </w:r>
    </w:p>
    <w:p>
      <w:pPr>
        <w:pStyle w:val="ListBullet"/>
        <w:keepLines w:val="1"/>
        <w:keepNext w:val="1"/>
        <w:widowControl w:val="1"/>
      </w:pPr>
      <w:r>
        <w:t xml:space="preserve">Fuente_Dato (herramienta, sistema, encuesta).  </w:t>
      </w:r>
    </w:p>
    <w:p>
      <w:pPr>
        <w:pStyle w:val="ListBullet"/>
        <w:keepLines w:val="1"/>
        <w:keepNext w:val="1"/>
        <w:widowControl w:val="1"/>
      </w:pPr>
      <w:r>
        <w:t xml:space="preserve">Periodicidad.  </w:t>
      </w:r>
    </w:p>
    <w:p>
      <w:pPr>
        <w:pStyle w:val="ListBullet"/>
        <w:keepLines w:val="1"/>
        <w:keepNext w:val="1"/>
        <w:widowControl w:val="1"/>
      </w:pPr>
      <w:r>
        <w:t xml:space="preserve">PRAGMATIC: PRED, REL, ACC, GEN, SIG, PRE, OPO, IND, REN (valores A/M/B).  </w:t>
      </w:r>
    </w:p>
    <w:p>
      <w:pPr>
        <w:pStyle w:val="ListBullet"/>
        <w:keepLines w:val="1"/>
        <w:widowControl w:val="1"/>
      </w:pPr>
      <w:r>
        <w:t>Comentario_Interpretacion (cómo usarla en decisiones).</w:t>
      </w:r>
    </w:p>
    <w:p>
      <w:r>
        <w:t>Esta hoja sirve como contrato explícito sobre qué significa cada número.</w:t>
      </w:r>
    </w:p>
    <w:p>
      <w:pPr>
        <w:pStyle w:val="Heading2"/>
        <w:keepNext/>
        <w:keepLines/>
      </w:pPr>
      <w:r>
        <w:rPr>
          <w:color w:val="0066CC"/>
        </w:rPr>
        <w:t>3. Hoja Datos_Encuesta</w:t>
      </w:r>
    </w:p>
    <w:p>
      <w:r>
        <w:t>Muy similar a la plantilla ya descrita para ENS–INES, con algunas columnas adicionales para enlazar con GQM:</w:t>
      </w:r>
    </w:p>
    <w:p>
      <w:pPr>
        <w:pStyle w:val="ListBullet"/>
        <w:keepLines w:val="1"/>
        <w:keepNext w:val="1"/>
        <w:widowControl w:val="1"/>
      </w:pPr>
      <w:r>
        <w:t xml:space="preserve">Org_ID, Nombre_Org, Sector, Tamaño, Criticidad_ENS.  </w:t>
      </w:r>
    </w:p>
    <w:p>
      <w:pPr>
        <w:pStyle w:val="ListBullet"/>
        <w:keepLines w:val="1"/>
        <w:keepNext w:val="1"/>
        <w:widowControl w:val="1"/>
      </w:pPr>
      <w:r>
        <w:t xml:space="preserve">Métricas base:  </w:t>
      </w:r>
    </w:p>
    <w:p>
      <w:pPr>
        <w:pStyle w:val="ListBullet"/>
        <w:keepLines w:val="1"/>
        <w:keepNext w:val="1"/>
        <w:widowControl w:val="1"/>
      </w:pPr>
      <w:r>
        <w:t xml:space="preserve">Pct_Medidas_ENS_Implantadas (1.1.1).  </w:t>
      </w:r>
    </w:p>
    <w:p>
      <w:pPr>
        <w:pStyle w:val="ListBullet"/>
        <w:keepLines w:val="1"/>
        <w:keepNext w:val="1"/>
        <w:widowControl w:val="1"/>
      </w:pPr>
      <w:r>
        <w:t xml:space="preserve">Frecuencia_Revision_Medidas_Meses (1.2.1).  </w:t>
      </w:r>
    </w:p>
    <w:p>
      <w:pPr>
        <w:pStyle w:val="ListBullet"/>
        <w:keepLines w:val="1"/>
        <w:keepNext w:val="1"/>
        <w:widowControl w:val="1"/>
      </w:pPr>
      <w:r>
        <w:t xml:space="preserve">Pct_Evidencias_Automatizadas (1.3.1).  </w:t>
      </w:r>
    </w:p>
    <w:p>
      <w:pPr>
        <w:pStyle w:val="ListBullet"/>
        <w:keepLines w:val="1"/>
        <w:keepNext w:val="1"/>
        <w:widowControl w:val="1"/>
      </w:pPr>
      <w:r>
        <w:t xml:space="preserve">Incidentes_Graves_por_1000_Activos (2.1.1).  </w:t>
      </w:r>
    </w:p>
    <w:p>
      <w:pPr>
        <w:pStyle w:val="ListBullet"/>
        <w:keepLines w:val="1"/>
        <w:keepNext w:val="1"/>
        <w:widowControl w:val="1"/>
      </w:pPr>
      <w:r>
        <w:t xml:space="preserve">MTTD_Horas (2.2.1).  </w:t>
      </w:r>
    </w:p>
    <w:p>
      <w:pPr>
        <w:pStyle w:val="ListBullet"/>
        <w:keepLines w:val="1"/>
        <w:keepNext w:val="1"/>
        <w:widowControl w:val="1"/>
      </w:pPr>
      <w:r>
        <w:t xml:space="preserve">MTTR_Horas (2.2.2).  </w:t>
      </w:r>
    </w:p>
    <w:p>
      <w:pPr>
        <w:pStyle w:val="ListBullet"/>
        <w:keepLines w:val="1"/>
        <w:keepNext w:val="1"/>
        <w:widowControl w:val="1"/>
      </w:pPr>
      <w:r>
        <w:t xml:space="preserve">Pct_Presupuesto_Seguridad (2.3.1 / 7.1.1).  </w:t>
      </w:r>
    </w:p>
    <w:p>
      <w:pPr>
        <w:pStyle w:val="ListBullet"/>
        <w:keepLines w:val="1"/>
        <w:keepNext w:val="1"/>
        <w:widowControl w:val="1"/>
      </w:pPr>
      <w:r>
        <w:t xml:space="preserve">FTE_Seguridad (2.3.2).  </w:t>
      </w:r>
    </w:p>
    <w:p>
      <w:pPr>
        <w:pStyle w:val="ListBullet"/>
        <w:keepLines w:val="1"/>
        <w:keepNext w:val="1"/>
        <w:widowControl w:val="1"/>
      </w:pPr>
      <w:r>
        <w:t xml:space="preserve">Interrupciones_Servicios_Criticos (3.1.1).  </w:t>
      </w:r>
    </w:p>
    <w:p>
      <w:pPr>
        <w:pStyle w:val="ListBullet"/>
        <w:keepLines w:val="1"/>
        <w:keepNext w:val="1"/>
        <w:widowControl w:val="1"/>
      </w:pPr>
      <w:r>
        <w:t xml:space="preserve">Pct_Cumplimiento_RTO (3.2.1).  </w:t>
      </w:r>
    </w:p>
    <w:p>
      <w:pPr>
        <w:pStyle w:val="ListBullet"/>
        <w:keepLines w:val="1"/>
        <w:keepNext w:val="1"/>
        <w:widowControl w:val="1"/>
      </w:pPr>
      <w:r>
        <w:t xml:space="preserve">Pct_Incidentes_Causa_Raiz (3.3.1).  </w:t>
      </w:r>
    </w:p>
    <w:p>
      <w:pPr>
        <w:pStyle w:val="ListBullet"/>
        <w:keepLines w:val="1"/>
        <w:keepNext w:val="1"/>
        <w:widowControl w:val="1"/>
      </w:pPr>
      <w:r>
        <w:t xml:space="preserve">Pct_Contratos_Clausulas_ENS_NIS2 (4.1.1).  </w:t>
      </w:r>
    </w:p>
    <w:p>
      <w:pPr>
        <w:pStyle w:val="ListBullet"/>
        <w:keepLines w:val="1"/>
        <w:keepNext w:val="1"/>
        <w:widowControl w:val="1"/>
      </w:pPr>
      <w:r>
        <w:t xml:space="preserve">Pct_Proveedores_Evaluados (4.2.1).  </w:t>
      </w:r>
    </w:p>
    <w:p>
      <w:pPr>
        <w:pStyle w:val="ListBullet"/>
        <w:keepLines w:val="1"/>
        <w:keepNext w:val="1"/>
        <w:widowControl w:val="1"/>
      </w:pPr>
      <w:r>
        <w:t xml:space="preserve">Ejercicios_Con_Proveedores (4.3.1).  </w:t>
      </w:r>
    </w:p>
    <w:p>
      <w:pPr>
        <w:pStyle w:val="ListBullet"/>
        <w:keepLines w:val="1"/>
        <w:keepNext w:val="1"/>
        <w:widowControl w:val="1"/>
      </w:pPr>
      <w:r>
        <w:t xml:space="preserve">Mad_* (madurez dominio) e IGM_Global.  </w:t>
      </w:r>
    </w:p>
    <w:p>
      <w:pPr>
        <w:pStyle w:val="ListBullet"/>
        <w:keepLines w:val="1"/>
        <w:keepNext w:val="1"/>
        <w:widowControl w:val="1"/>
      </w:pPr>
      <w:r>
        <w:t xml:space="preserve">ROI_Percibido.  </w:t>
      </w:r>
    </w:p>
    <w:p>
      <w:pPr>
        <w:pStyle w:val="ListBullet"/>
        <w:keepLines w:val="1"/>
        <w:widowControl w:val="1"/>
      </w:pPr>
      <w:r>
        <w:t>Etc.</w:t>
      </w:r>
    </w:p>
    <w:p>
      <w:pPr>
        <w:pStyle w:val="Heading2"/>
        <w:keepNext/>
        <w:keepLines/>
      </w:pPr>
      <w:r>
        <w:rPr>
          <w:color w:val="0066CC"/>
        </w:rPr>
        <w:t>4. Hoja IGM_Madurez</w:t>
      </w:r>
    </w:p>
    <w:p>
      <w:r>
        <w:t>Igual que en la plantilla anterior, pero explicitando referencias GQM:</w:t>
      </w:r>
    </w:p>
    <w:p>
      <w:pPr>
        <w:pStyle w:val="ListBullet"/>
        <w:keepLines w:val="1"/>
        <w:keepNext w:val="1"/>
        <w:widowControl w:val="1"/>
      </w:pPr>
      <w:r>
        <w:t xml:space="preserve">Para cada organización, se calculan:  </w:t>
      </w:r>
    </w:p>
    <w:p>
      <w:pPr>
        <w:pStyle w:val="ListBullet"/>
        <w:keepLines w:val="1"/>
        <w:keepNext w:val="1"/>
        <w:widowControl w:val="1"/>
      </w:pPr>
      <w:r>
        <w:t xml:space="preserve">IGM_Riesgos, IGM_Identidades, IGM_Incidentes, IGM_Continuidad, IGM_Proveedores, IGM_Formacion, IGM_Metricas.  </w:t>
      </w:r>
    </w:p>
    <w:p>
      <w:pPr>
        <w:pStyle w:val="ListBullet"/>
        <w:keepLines w:val="1"/>
        <w:widowControl w:val="1"/>
      </w:pPr>
      <w:r>
        <w:t xml:space="preserve">IGM_Global como media (o media ponderada).  </w:t>
      </w:r>
    </w:p>
    <w:p>
      <w:r>
        <w:t>Se pueden incluir:</w:t>
      </w:r>
    </w:p>
    <w:p>
      <w:pPr>
        <w:pStyle w:val="ListBullet"/>
        <w:keepLines w:val="1"/>
        <w:keepNext w:val="1"/>
        <w:widowControl w:val="1"/>
      </w:pPr>
      <w:r>
        <w:t xml:space="preserve">Delta_IGM_Global = IGM_Global_Año_Actual – IGM_Global_Año_Anterior.  </w:t>
      </w:r>
    </w:p>
    <w:p>
      <w:pPr>
        <w:pStyle w:val="ListBullet"/>
        <w:keepLines w:val="1"/>
        <w:widowControl w:val="1"/>
      </w:pPr>
      <w:r>
        <w:t>Delta_IGM_* por dominio.</w:t>
      </w:r>
    </w:p>
    <w:p>
      <w:r>
        <w:t>Estas métricas se mapean directamente a Goal 5 (mejora de madurez).</w:t>
      </w:r>
    </w:p>
    <w:p>
      <w:pPr>
        <w:pStyle w:val="Heading2"/>
        <w:keepNext/>
        <w:keepLines/>
      </w:pPr>
      <w:r>
        <w:rPr>
          <w:color w:val="0066CC"/>
        </w:rPr>
        <w:t>5. Hoja ROI_Seguridad</w:t>
      </w:r>
    </w:p>
    <w:p>
      <w:r>
        <w:t>Variables:</w:t>
      </w:r>
    </w:p>
    <w:p>
      <w:pPr>
        <w:pStyle w:val="ListBullet"/>
        <w:keepLines w:val="1"/>
        <w:keepNext w:val="1"/>
        <w:widowControl w:val="1"/>
      </w:pPr>
      <w:r>
        <w:t xml:space="preserve">Gasto_TIC_Total.  </w:t>
      </w:r>
    </w:p>
    <w:p>
      <w:pPr>
        <w:pStyle w:val="ListBullet"/>
        <w:keepLines w:val="1"/>
        <w:keepNext w:val="1"/>
        <w:widowControl w:val="1"/>
      </w:pPr>
      <w:r>
        <w:t xml:space="preserve">Gasto_Seguridad = Pct_Presupuesto_Seguridad * Gasto_TIC_Total.  </w:t>
      </w:r>
    </w:p>
    <w:p>
      <w:pPr>
        <w:pStyle w:val="ListBullet"/>
        <w:keepLines w:val="1"/>
        <w:keepNext w:val="1"/>
        <w:widowControl w:val="1"/>
      </w:pPr>
      <w:r>
        <w:t xml:space="preserve">Coste_Medio_Incidente_Grave (parámetro configurable).  </w:t>
      </w:r>
    </w:p>
    <w:p>
      <w:pPr>
        <w:pStyle w:val="ListBullet"/>
        <w:keepLines w:val="1"/>
        <w:keepNext w:val="1"/>
        <w:widowControl w:val="1"/>
      </w:pPr>
      <w:r>
        <w:t xml:space="preserve">Incidentes_Graves_Observados.  </w:t>
      </w:r>
    </w:p>
    <w:p>
      <w:pPr>
        <w:pStyle w:val="ListBullet"/>
        <w:keepLines w:val="1"/>
        <w:keepNext w:val="1"/>
        <w:widowControl w:val="1"/>
      </w:pPr>
      <w:r>
        <w:t xml:space="preserve">Incidentes_Graves_Estimados_sin_Medidas (modelo o escenario).  </w:t>
      </w:r>
    </w:p>
    <w:p>
      <w:pPr>
        <w:pStyle w:val="ListBullet"/>
        <w:keepLines w:val="1"/>
        <w:keepNext w:val="1"/>
        <w:widowControl w:val="1"/>
      </w:pPr>
      <w:r>
        <w:t xml:space="preserve">Incidentes_Graves_Evitados = Incidentes_Estimados – Observados.  </w:t>
      </w:r>
    </w:p>
    <w:p>
      <w:pPr>
        <w:pStyle w:val="ListBullet"/>
        <w:keepLines w:val="1"/>
        <w:keepNext w:val="1"/>
        <w:widowControl w:val="1"/>
      </w:pPr>
      <w:r>
        <w:t xml:space="preserve">Beneficio_Estimado = Incidentes_Evitados * Coste_Medio_Incidente_Grave.  </w:t>
      </w:r>
    </w:p>
    <w:p>
      <w:pPr>
        <w:pStyle w:val="ListBullet"/>
        <w:keepLines w:val="1"/>
        <w:widowControl w:val="1"/>
      </w:pPr>
      <w:r>
        <w:t>ROI_Basico = (Beneficio_Estimado – Gasto_Seguridad) / Gasto_Seguridad (7.2.1).</w:t>
      </w:r>
    </w:p>
    <w:p>
      <w:r>
        <w:t>Las celdas pueden comentarse con la referencia GQM/PRAGMATIC correspondiente.</w:t>
      </w:r>
    </w:p>
    <w:p>
      <w:pPr>
        <w:pStyle w:val="Heading2"/>
        <w:keepNext/>
        <w:keepLines/>
      </w:pPr>
      <w:r>
        <w:rPr>
          <w:color w:val="0066CC"/>
        </w:rPr>
        <w:t>6. Hoja PRAGMATIC_Score</w:t>
      </w:r>
    </w:p>
    <w:p>
      <w:r>
        <w:t>Objetivo: evaluar, a nivel de sistema, si el conjunto de métricas es saludable.</w:t>
      </w:r>
    </w:p>
    <w:p>
      <w:pPr>
        <w:pStyle w:val="ListBullet"/>
        <w:keepLines w:val="1"/>
        <w:keepNext w:val="1"/>
        <w:widowControl w:val="1"/>
      </w:pPr>
      <w:r>
        <w:t xml:space="preserve">Filas: métricas (ID_Metrica).  </w:t>
      </w:r>
    </w:p>
    <w:p>
      <w:pPr>
        <w:pStyle w:val="ListBullet"/>
        <w:keepLines w:val="1"/>
        <w:keepNext w:val="1"/>
        <w:widowControl w:val="1"/>
      </w:pPr>
      <w:r>
        <w:t xml:space="preserve">Columnas: PRED, REL, ACC, GEN, SIG, PRE, OPO, IND, REN (valores numéricos: A=3, M=2, B=1).  </w:t>
      </w:r>
    </w:p>
    <w:p>
      <w:pPr>
        <w:pStyle w:val="ListBullet"/>
        <w:keepLines w:val="1"/>
        <w:keepNext w:val="1"/>
        <w:widowControl w:val="1"/>
      </w:pPr>
      <w:r>
        <w:t xml:space="preserve">Score_Total = suma o media de los nueve criterios.  </w:t>
      </w:r>
    </w:p>
    <w:p>
      <w:pPr>
        <w:pStyle w:val="ListBullet"/>
        <w:keepLines w:val="1"/>
        <w:widowControl w:val="1"/>
      </w:pPr>
      <w:r>
        <w:t xml:space="preserve">Score_Medio = Score_Total/9.  </w:t>
      </w:r>
    </w:p>
    <w:p>
      <w:r>
        <w:t>Se pueden generar:</w:t>
      </w:r>
    </w:p>
    <w:p>
      <w:pPr>
        <w:pStyle w:val="ListBullet"/>
        <w:keepLines w:val="1"/>
        <w:keepNext w:val="1"/>
        <w:widowControl w:val="1"/>
      </w:pPr>
      <w:r>
        <w:t xml:space="preserve">Distribución de puntuaciones totales.  </w:t>
      </w:r>
    </w:p>
    <w:p>
      <w:pPr>
        <w:pStyle w:val="ListBullet"/>
        <w:keepLines w:val="1"/>
        <w:keepNext w:val="1"/>
        <w:widowControl w:val="1"/>
      </w:pPr>
      <w:r>
        <w:t xml:space="preserve">Identificación de métricas con Score_Medio &lt; 2 (candidatas a revisión/eliminación).  </w:t>
      </w:r>
    </w:p>
    <w:p>
      <w:pPr>
        <w:pStyle w:val="ListBullet"/>
        <w:keepLines w:val="1"/>
        <w:widowControl w:val="1"/>
      </w:pPr>
      <w:r>
        <w:t>Métricas estrella (Score_Medio &gt; 2,5).</w:t>
      </w:r>
    </w:p>
    <w:p>
      <w:pPr>
        <w:pStyle w:val="Heading2"/>
        <w:keepNext/>
        <w:keepLines/>
      </w:pPr>
      <w:r>
        <w:rPr>
          <w:color w:val="0066CC"/>
        </w:rPr>
        <w:t>7. Hoja Cuadros_Mando</w:t>
      </w:r>
    </w:p>
    <w:p>
      <w:pPr>
        <w:pStyle w:val="ListBullet"/>
        <w:keepLines w:val="1"/>
        <w:keepNext w:val="1"/>
        <w:widowControl w:val="1"/>
      </w:pPr>
      <w:r>
        <w:t xml:space="preserve">Gráficos de IGM vs. incidentes.  </w:t>
      </w:r>
    </w:p>
    <w:p>
      <w:pPr>
        <w:pStyle w:val="ListBullet"/>
        <w:keepLines w:val="1"/>
        <w:keepNext w:val="1"/>
        <w:widowControl w:val="1"/>
      </w:pPr>
      <w:r>
        <w:t xml:space="preserve">Gráficos de inversión vs. ROI.  </w:t>
      </w:r>
    </w:p>
    <w:p>
      <w:pPr>
        <w:pStyle w:val="ListBullet"/>
        <w:keepLines w:val="1"/>
        <w:widowControl w:val="1"/>
      </w:pPr>
      <w:r>
        <w:t>Gráficos de distribución PRAGMATIC (por dominio).</w:t>
      </w:r>
    </w:p>
    <w:p>
      <w:pPr>
        <w:pStyle w:val="Heading2"/>
        <w:keepNext/>
        <w:keepLines/>
      </w:pPr>
      <w:r>
        <w:rPr>
          <w:color w:val="0066CC"/>
        </w:rPr>
        <w:t>8. Comentarios de implementación</w:t>
      </w:r>
    </w:p>
    <w:p>
      <w:pPr>
        <w:pStyle w:val="ListBullet"/>
        <w:keepLines w:val="1"/>
        <w:keepNext w:val="1"/>
        <w:widowControl w:val="1"/>
      </w:pPr>
      <w:r>
        <w:t xml:space="preserve">Conviene centralizar definiciones en Diccionario_Metricas para evitar divergencias entre hojas.  </w:t>
      </w:r>
    </w:p>
    <w:p>
      <w:pPr>
        <w:pStyle w:val="ListBullet"/>
        <w:keepLines w:val="1"/>
        <w:keepNext w:val="1"/>
        <w:widowControl w:val="1"/>
      </w:pPr>
      <w:r>
        <w:t xml:space="preserve">La plantilla puede nutrirse de exportaciones de INES, SIEM, GRC, etc.  </w:t>
      </w:r>
    </w:p>
    <w:p>
      <w:pPr>
        <w:pStyle w:val="ListBullet"/>
        <w:keepLines w:val="1"/>
        <w:widowControl w:val="1"/>
      </w:pPr>
      <w:r>
        <w:t>La complejidad puede escalar gradualmente: empezar con un subconjunto de métricas de alto valor PRAGMATIC e ir ampliando.</w:t>
      </w:r>
    </w:p>
    <w:p>
      <w:r>
        <w:t>Excel no hará el milagro solo, pero al menos podrá demostrar que las decisiones se tomaron mirando algo más que el horóscopo.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