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de Seguridad (ENS–INES)</w:t>
      </w:r>
    </w:p>
    <w:p>
      <w:r>
        <w:t>Descripción en Markdown de una hoja de cálculo lista para implementar en Excel (o equivalente).</w:t>
      </w:r>
    </w:p>
    <w:p>
      <w:pPr>
        <w:pStyle w:val="Heading2"/>
        <w:keepNext/>
        <w:keepLines/>
      </w:pPr>
      <w:r>
        <w:rPr>
          <w:color w:val="0066CC"/>
        </w:rPr>
        <w:t>1. Estructura general del archivo Excel</w:t>
      </w:r>
    </w:p>
    <w:p>
      <w:r>
        <w:t>Se recomienda un libro con las siguientes hojas:</w:t>
      </w:r>
    </w:p>
    <w:p>
      <w:pPr>
        <w:pStyle w:val="ListNumber"/>
        <w:keepLines w:val="1"/>
        <w:keepNext w:val="1"/>
        <w:widowControl w:val="1"/>
      </w:pPr>
      <w:r>
        <w:t xml:space="preserve">Datos_Encuesta: volcado estructurado de respuestas por organización.  </w:t>
      </w:r>
    </w:p>
    <w:p>
      <w:pPr>
        <w:pStyle w:val="ListNumber"/>
        <w:keepLines w:val="1"/>
        <w:keepNext w:val="1"/>
        <w:widowControl w:val="1"/>
      </w:pPr>
      <w:r>
        <w:t xml:space="preserve">IGM_Madurez: cálculo del Índice Global de Madurez.  </w:t>
      </w:r>
    </w:p>
    <w:p>
      <w:pPr>
        <w:pStyle w:val="ListNumber"/>
        <w:keepLines w:val="1"/>
        <w:keepNext w:val="1"/>
        <w:widowControl w:val="1"/>
      </w:pPr>
      <w:r>
        <w:t xml:space="preserve">ROI_Seguridad: estimaciones de retorno de inversión.  </w:t>
      </w:r>
    </w:p>
    <w:p>
      <w:pPr>
        <w:pStyle w:val="ListNumber"/>
        <w:keepLines w:val="1"/>
        <w:widowControl w:val="1"/>
      </w:pPr>
      <w:r>
        <w:t xml:space="preserve">Cuadros_Mando: tablas y gráficos resumen para reportes.  </w:t>
      </w:r>
    </w:p>
    <w:p>
      <w:pPr>
        <w:pStyle w:val="Heading2"/>
        <w:keepNext/>
        <w:keepLines/>
      </w:pPr>
      <w:r>
        <w:rPr>
          <w:color w:val="0066CC"/>
        </w:rPr>
        <w:t>2. Hoja Datos_Encuesta</w:t>
      </w:r>
    </w:p>
    <w:p>
      <w:r>
        <w:t>Cada fila representa una organización (o unidad). Las columnas incluyen:</w:t>
      </w:r>
    </w:p>
    <w:p>
      <w:pPr>
        <w:pStyle w:val="ListBullet"/>
        <w:keepLines w:val="1"/>
        <w:keepNext w:val="1"/>
        <w:widowControl w:val="1"/>
      </w:pPr>
      <w:r>
        <w:t xml:space="preserve">Identificadores:  </w:t>
      </w:r>
    </w:p>
    <w:p>
      <w:pPr>
        <w:pStyle w:val="ListBullet"/>
        <w:keepLines w:val="1"/>
        <w:keepNext w:val="1"/>
        <w:widowControl w:val="1"/>
      </w:pPr>
      <w:r>
        <w:br/>
        <w:t xml:space="preserve">Org_ID, Nombre_Org, Sector, Tamaño, Categoria_Predominante_ENS.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Variables de madurez (preguntas 36–42):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Mad_Riesgos, Mad_Identidades, Mad_Incidentes, Mad_Continuidad, Mad_Proveedores, Mad_Formacion, Mad_Metricas (valores 1–5).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Recursos e inversión (preguntas 48–49):  </w:t>
        <w:br/>
      </w:r>
    </w:p>
    <w:p>
      <w:pPr>
        <w:pStyle w:val="ListBullet"/>
        <w:keepLines w:val="1"/>
        <w:keepNext w:val="1"/>
        <w:widowControl w:val="1"/>
      </w:pPr>
      <w:r>
        <w:t xml:space="preserve">Pct_Presupuesto_Seguridad (en %).  </w:t>
      </w:r>
    </w:p>
    <w:p>
      <w:pPr>
        <w:pStyle w:val="ListBullet"/>
        <w:keepLines w:val="1"/>
        <w:keepNext w:val="1"/>
        <w:widowControl w:val="1"/>
      </w:pPr>
      <w:r>
        <w:br/>
        <w:t xml:space="preserve">FTE_Seguridad (personas equivalentes a jornada completa).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Percepción de ROI (pregunta 51):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ROI_Percibido (codificar: 1 = muy bajo, 2 = bajo, 3 = razonable, 4 = claramente positivo).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Métricas de incidentes (resumen opcional):  </w:t>
        <w:br/>
      </w:r>
    </w:p>
    <w:p>
      <w:pPr>
        <w:pStyle w:val="ListBullet"/>
        <w:keepLines w:val="1"/>
        <w:keepNext w:val="1"/>
        <w:widowControl w:val="1"/>
      </w:pPr>
      <w:r>
        <w:t xml:space="preserve">Num_Incidentes_Graves (últimos 12 meses).  </w:t>
      </w:r>
    </w:p>
    <w:p>
      <w:pPr>
        <w:pStyle w:val="ListBullet"/>
        <w:keepLines w:val="1"/>
        <w:widowControl w:val="1"/>
      </w:pPr>
      <w:r>
        <w:t xml:space="preserve">MTTD_Medio_Horas, MTTR_Medio_Horas, MTTR_Recuperacion_Horas (si se dispone).  </w:t>
      </w:r>
    </w:p>
    <w:p>
      <w:r>
        <w:rPr>
          <w:rFonts w:ascii="Courier New" w:hAnsi="Courier New"/>
          <w:sz w:val="18"/>
        </w:rPr>
        <w:t>Org_ID</w:t>
      </w:r>
      <w:r>
        <w:t xml:space="preserve">, </w:t>
      </w:r>
      <w:r>
        <w:rPr>
          <w:rFonts w:ascii="Courier New" w:hAnsi="Courier New"/>
          <w:sz w:val="18"/>
        </w:rPr>
        <w:t>Nombre_Org</w:t>
      </w:r>
      <w:r>
        <w:t xml:space="preserve">, </w:t>
      </w:r>
      <w:r>
        <w:rPr>
          <w:rFonts w:ascii="Courier New" w:hAnsi="Courier New"/>
          <w:sz w:val="18"/>
        </w:rPr>
        <w:t>Sector</w:t>
      </w:r>
      <w:r>
        <w:t xml:space="preserve">, </w:t>
      </w:r>
      <w:r>
        <w:rPr>
          <w:rFonts w:ascii="Courier New" w:hAnsi="Courier New"/>
          <w:sz w:val="18"/>
        </w:rPr>
        <w:t>Tamaño</w:t>
      </w:r>
      <w:r>
        <w:t xml:space="preserve">, </w:t>
      </w:r>
      <w:r>
        <w:rPr>
          <w:rFonts w:ascii="Courier New" w:hAnsi="Courier New"/>
          <w:sz w:val="18"/>
        </w:rPr>
        <w:t>Categoria_Predominante_ENS</w:t>
      </w:r>
      <w:r>
        <w:t xml:space="preserve">.  </w:t>
      </w:r>
    </w:p>
    <w:p>
      <w:r>
        <w:t xml:space="preserve">Variables de madurez (preguntas 36–42):  </w:t>
      </w:r>
    </w:p>
    <w:p>
      <w:r>
        <w:rPr>
          <w:rFonts w:ascii="Courier New" w:hAnsi="Courier New"/>
          <w:sz w:val="18"/>
        </w:rPr>
        <w:t>Mad_Riesgos</w:t>
      </w:r>
      <w:r>
        <w:t xml:space="preserve">, </w:t>
      </w:r>
      <w:r>
        <w:rPr>
          <w:rFonts w:ascii="Courier New" w:hAnsi="Courier New"/>
          <w:sz w:val="18"/>
        </w:rPr>
        <w:t>Mad_Identidades</w:t>
      </w:r>
      <w:r>
        <w:t xml:space="preserve">, </w:t>
      </w:r>
      <w:r>
        <w:rPr>
          <w:rFonts w:ascii="Courier New" w:hAnsi="Courier New"/>
          <w:sz w:val="18"/>
        </w:rPr>
        <w:t>Mad_Incidentes</w:t>
      </w:r>
      <w:r>
        <w:t xml:space="preserve">, </w:t>
      </w:r>
      <w:r>
        <w:rPr>
          <w:rFonts w:ascii="Courier New" w:hAnsi="Courier New"/>
          <w:sz w:val="18"/>
        </w:rPr>
        <w:t>Mad_Continuidad</w:t>
      </w:r>
      <w:r>
        <w:t xml:space="preserve">, </w:t>
      </w:r>
      <w:r>
        <w:rPr>
          <w:rFonts w:ascii="Courier New" w:hAnsi="Courier New"/>
          <w:sz w:val="18"/>
        </w:rPr>
        <w:t>Mad_Proveedores</w:t>
      </w:r>
      <w:r>
        <w:t xml:space="preserve">, </w:t>
      </w:r>
      <w:r>
        <w:rPr>
          <w:rFonts w:ascii="Courier New" w:hAnsi="Courier New"/>
          <w:sz w:val="18"/>
        </w:rPr>
        <w:t>Mad_Formacion</w:t>
      </w:r>
      <w:r>
        <w:t xml:space="preserve">, </w:t>
      </w:r>
      <w:r>
        <w:rPr>
          <w:rFonts w:ascii="Courier New" w:hAnsi="Courier New"/>
          <w:sz w:val="18"/>
        </w:rPr>
        <w:t>Mad_Metricas</w:t>
      </w:r>
      <w:r>
        <w:t xml:space="preserve"> (valores 1–5).  </w:t>
      </w:r>
    </w:p>
    <w:p>
      <w:r>
        <w:t xml:space="preserve">Recursos e inversión (preguntas 48–49):  </w:t>
      </w:r>
    </w:p>
    <w:p>
      <w:r>
        <w:rPr>
          <w:rFonts w:ascii="Courier New" w:hAnsi="Courier New"/>
          <w:sz w:val="18"/>
        </w:rPr>
        <w:t>FTE_Seguridad</w:t>
      </w:r>
      <w:r>
        <w:t xml:space="preserve"> (personas equivalentes a jornada completa).  </w:t>
      </w:r>
    </w:p>
    <w:p>
      <w:r>
        <w:t xml:space="preserve">Percepción de ROI (pregunta 51):  </w:t>
      </w:r>
    </w:p>
    <w:p>
      <w:r>
        <w:rPr>
          <w:rFonts w:ascii="Courier New" w:hAnsi="Courier New"/>
          <w:sz w:val="18"/>
        </w:rPr>
        <w:t>ROI_Percibido</w:t>
      </w:r>
      <w:r>
        <w:t xml:space="preserve"> (codificar: 1 = muy bajo, 2 = bajo, 3 = razonable, 4 = claramente positivo).  </w:t>
      </w:r>
    </w:p>
    <w:p>
      <w:r>
        <w:t xml:space="preserve">Métricas de incidentes (resumen opcional):  </w:t>
      </w:r>
    </w:p>
    <w:p>
      <w:r>
        <w:t>Adicionalmente, se pueden importar otras respuestas que interesen al análisis (p. ej. existencia de política aprobada, uso de INES como herramienta de gestión).</w:t>
      </w:r>
    </w:p>
    <w:p>
      <w:pPr>
        <w:pStyle w:val="Heading2"/>
        <w:keepNext/>
        <w:keepLines/>
      </w:pPr>
      <w:r>
        <w:rPr>
          <w:color w:val="0066CC"/>
        </w:rPr>
        <w:t>3. Hoja IGM_Madurez</w:t>
      </w:r>
    </w:p>
    <w:p>
      <w:pPr>
        <w:pStyle w:val="Heading3"/>
        <w:keepNext/>
        <w:keepLines/>
      </w:pPr>
      <w:r>
        <w:t>3.1. Cálculo de IGM por dominio</w:t>
      </w:r>
    </w:p>
    <w:p>
      <w:r>
        <w:t>Para cada organización:</w:t>
      </w:r>
    </w:p>
    <w:p>
      <w:pPr>
        <w:pStyle w:val="ListBullet"/>
        <w:keepLines w:val="1"/>
        <w:keepNext w:val="1"/>
        <w:widowControl w:val="1"/>
      </w:pPr>
      <w:r>
        <w:t xml:space="preserve">IGM_Riesgos = Mad_Riesgos.  </w:t>
      </w:r>
    </w:p>
    <w:p>
      <w:pPr>
        <w:pStyle w:val="ListBullet"/>
        <w:keepLines w:val="1"/>
        <w:keepNext w:val="1"/>
        <w:widowControl w:val="1"/>
      </w:pPr>
      <w:r>
        <w:t xml:space="preserve">IGM_Identidades = Mad_Identidades.  </w:t>
      </w:r>
    </w:p>
    <w:p>
      <w:pPr>
        <w:pStyle w:val="ListBullet"/>
        <w:keepLines w:val="1"/>
        <w:keepNext w:val="1"/>
        <w:widowControl w:val="1"/>
      </w:pPr>
      <w:r>
        <w:t xml:space="preserve">IGM_Incidentes = Mad_Incidentes.  </w:t>
      </w:r>
    </w:p>
    <w:p>
      <w:pPr>
        <w:pStyle w:val="ListBullet"/>
        <w:keepLines w:val="1"/>
        <w:keepNext w:val="1"/>
        <w:widowControl w:val="1"/>
      </w:pPr>
      <w:r>
        <w:t xml:space="preserve">IGM_Continuidad = Mad_Continuidad.  </w:t>
      </w:r>
    </w:p>
    <w:p>
      <w:pPr>
        <w:pStyle w:val="ListBullet"/>
        <w:keepLines w:val="1"/>
        <w:keepNext w:val="1"/>
        <w:widowControl w:val="1"/>
      </w:pPr>
      <w:r>
        <w:t xml:space="preserve">IGM_Proveedores = Mad_Proveedores.  </w:t>
      </w:r>
    </w:p>
    <w:p>
      <w:pPr>
        <w:pStyle w:val="ListBullet"/>
        <w:keepLines w:val="1"/>
        <w:keepNext w:val="1"/>
        <w:widowControl w:val="1"/>
      </w:pPr>
      <w:r>
        <w:t xml:space="preserve">IGM_Formacion = Mad_Formacion.  </w:t>
      </w:r>
    </w:p>
    <w:p>
      <w:pPr>
        <w:pStyle w:val="ListBullet"/>
        <w:keepLines w:val="1"/>
        <w:widowControl w:val="1"/>
      </w:pPr>
      <w:r>
        <w:t xml:space="preserve">IGM_Metricas = Mad_Metricas.  </w:t>
      </w:r>
    </w:p>
    <w:p>
      <w:r>
        <w:t>Son simplemente las puntuaciones en escala 1–5; la utilidad está en compararlas entre organizaciones y en el tiempo.</w:t>
      </w:r>
    </w:p>
    <w:p>
      <w:pPr>
        <w:pStyle w:val="Heading3"/>
        <w:keepNext/>
        <w:keepLines/>
      </w:pPr>
      <w:r>
        <w:t>3.2. Índice Global de Madurez (IGM_Global)</w:t>
      </w:r>
    </w:p>
    <w:p>
      <w:r>
        <w:t>Se propone la siguiente fórmula base:</w:t>
      </w:r>
    </w:p>
    <w:p>
      <w:pPr>
        <w:pStyle w:val="ListBullet"/>
        <w:keepLines w:val="1"/>
        <w:widowControl w:val="1"/>
      </w:pPr>
      <w:r>
        <w:t xml:space="preserve">IGM_Global = promedio ponderado de los siete dominios.  </w:t>
      </w:r>
    </w:p>
    <w:p>
      <w:r>
        <w:t>Por ejemplo (en pseudofórmula Excel):</w:t>
      </w:r>
    </w:p>
    <w:p>
      <w:pPr>
        <w:pStyle w:val="ListBullet"/>
        <w:keepLines w:val="1"/>
        <w:widowControl w:val="1"/>
      </w:pPr>
      <w:r>
        <w:t xml:space="preserve">IGM_Global = (Mad_Riesgos + Mad_Identidades + Mad_Incidentes + Mad_Continuidad + Mad_Proveedores + Mad_Formacion + Mad_Metricas) / 7.  </w:t>
      </w:r>
    </w:p>
    <w:p>
      <w:r>
        <w:t>Opcionalmente, se pueden introducir ponderaciones (por ejemplo, valor doble para riesgos e incidentes) si así lo justifica la estrategia.</w:t>
      </w:r>
    </w:p>
    <w:p>
      <w:pPr>
        <w:pStyle w:val="Heading3"/>
        <w:keepNext/>
        <w:keepLines/>
      </w:pPr>
      <w:r>
        <w:t>3.3. Clasificación por niveles</w:t>
      </w:r>
    </w:p>
    <w:p>
      <w:r>
        <w:t>Se puede derivar una etiqueta cualitativa:</w:t>
      </w:r>
    </w:p>
    <w:p>
      <w:pPr>
        <w:pStyle w:val="ListBullet"/>
        <w:keepLines w:val="1"/>
        <w:keepNext w:val="1"/>
        <w:widowControl w:val="1"/>
      </w:pPr>
      <w:r>
        <w:t xml:space="preserve">1.0–1.9: “Inicial”.  </w:t>
      </w:r>
    </w:p>
    <w:p>
      <w:pPr>
        <w:pStyle w:val="ListBullet"/>
        <w:keepLines w:val="1"/>
        <w:keepNext w:val="1"/>
        <w:widowControl w:val="1"/>
      </w:pPr>
      <w:r>
        <w:t xml:space="preserve">2.0–2.9: “Básico”.  </w:t>
      </w:r>
    </w:p>
    <w:p>
      <w:pPr>
        <w:pStyle w:val="ListBullet"/>
        <w:keepLines w:val="1"/>
        <w:keepNext w:val="1"/>
        <w:widowControl w:val="1"/>
      </w:pPr>
      <w:r>
        <w:t xml:space="preserve">3.0–3.4: “Intermedio”.  </w:t>
      </w:r>
    </w:p>
    <w:p>
      <w:pPr>
        <w:pStyle w:val="ListBullet"/>
        <w:keepLines w:val="1"/>
        <w:keepNext w:val="1"/>
        <w:widowControl w:val="1"/>
      </w:pPr>
      <w:r>
        <w:t xml:space="preserve">3.5–4.4: “Avanzado”.  </w:t>
      </w:r>
    </w:p>
    <w:p>
      <w:pPr>
        <w:pStyle w:val="ListBullet"/>
        <w:keepLines w:val="1"/>
        <w:widowControl w:val="1"/>
      </w:pPr>
      <w:r>
        <w:t>4.5–5.0: “Líder / Optimizado”.</w:t>
      </w:r>
    </w:p>
    <w:p>
      <w:r>
        <w:t>La hoja puede usar reglas de formato condicional (semáforos) para facilitar la lectura visual.</w:t>
      </w:r>
    </w:p>
    <w:p>
      <w:pPr>
        <w:pStyle w:val="Heading2"/>
        <w:keepNext/>
        <w:keepLines/>
      </w:pPr>
      <w:r>
        <w:rPr>
          <w:color w:val="0066CC"/>
        </w:rPr>
        <w:t>4. Hoja ROI_Seguridad</w:t>
      </w:r>
    </w:p>
    <w:p>
      <w:r>
        <w:t>El objetivo es aproximar un ROI de seguridad a partir de:</w:t>
      </w:r>
    </w:p>
    <w:p>
      <w:pPr>
        <w:pStyle w:val="ListBullet"/>
        <w:keepLines w:val="1"/>
        <w:keepNext w:val="1"/>
        <w:widowControl w:val="1"/>
      </w:pPr>
      <w:r>
        <w:t xml:space="preserve">Inversión: porcentaje del presupuesto TIC y FTE dedicados.  </w:t>
      </w:r>
    </w:p>
    <w:p>
      <w:pPr>
        <w:pStyle w:val="ListBullet"/>
        <w:keepLines w:val="1"/>
        <w:widowControl w:val="1"/>
      </w:pPr>
      <w:r>
        <w:t>Beneficios: incidentes evitados o mitigados, tanto en frecuencia como en impacto.</w:t>
      </w:r>
    </w:p>
    <w:p>
      <w:pPr>
        <w:pStyle w:val="Heading3"/>
        <w:keepNext/>
        <w:keepLines/>
      </w:pPr>
      <w:r>
        <w:t>4.1. Variables básicas</w:t>
      </w:r>
    </w:p>
    <w:p>
      <w:r>
        <w:t>Por organización:</w:t>
      </w:r>
    </w:p>
    <w:p>
      <w:pPr>
        <w:pStyle w:val="ListBullet"/>
        <w:keepLines w:val="1"/>
        <w:keepNext w:val="1"/>
        <w:widowControl w:val="1"/>
      </w:pPr>
      <w:r>
        <w:t xml:space="preserve">Gasto_TIC_Total (opcional, si se conoce).  </w:t>
      </w:r>
    </w:p>
    <w:p>
      <w:pPr>
        <w:pStyle w:val="ListBullet"/>
        <w:keepLines w:val="1"/>
        <w:keepNext w:val="1"/>
        <w:widowControl w:val="1"/>
      </w:pPr>
      <w:r>
        <w:t xml:space="preserve">Gasto_Seguridad = Gasto_TIC_Total * Pct_Presupuesto_Seguridad.  </w:t>
      </w:r>
    </w:p>
    <w:p>
      <w:pPr>
        <w:pStyle w:val="ListBullet"/>
        <w:keepLines w:val="1"/>
        <w:keepNext w:val="1"/>
        <w:widowControl w:val="1"/>
      </w:pPr>
      <w:r>
        <w:t xml:space="preserve">Coste_Medio_Incidente_Grave (estimado; se puede fijar un valor estándar sectorial).  </w:t>
      </w:r>
    </w:p>
    <w:p>
      <w:pPr>
        <w:pStyle w:val="ListBullet"/>
        <w:keepLines w:val="1"/>
        <w:widowControl w:val="1"/>
      </w:pPr>
      <w:r>
        <w:t xml:space="preserve">Num_Incidentes_Graves_Evitados (estimación basada en comparativa histórica o benchmarking).  </w:t>
      </w:r>
    </w:p>
    <w:p>
      <w:r>
        <w:t>Cuando no haya datos suficientes, se pueden definir escenarios:</w:t>
      </w:r>
    </w:p>
    <w:p>
      <w:pPr>
        <w:pStyle w:val="ListBullet"/>
        <w:keepLines w:val="1"/>
        <w:keepNext w:val="1"/>
        <w:widowControl w:val="1"/>
      </w:pPr>
      <w:r>
        <w:t xml:space="preserve">Conservador: se asume que la seguridad ha evitado X incidentes graves.  </w:t>
      </w:r>
    </w:p>
    <w:p>
      <w:pPr>
        <w:pStyle w:val="ListBullet"/>
        <w:keepLines w:val="1"/>
        <w:widowControl w:val="1"/>
      </w:pPr>
      <w:r>
        <w:t>Moderado y agresivo: valores mayores de X.</w:t>
      </w:r>
    </w:p>
    <w:p>
      <w:pPr>
        <w:pStyle w:val="Heading3"/>
        <w:keepNext/>
        <w:keepLines/>
      </w:pPr>
      <w:r>
        <w:t>4.2. Fórmulas de ROI</w:t>
      </w:r>
    </w:p>
    <w:p>
      <w:r>
        <w:t>Se puede utilizar una forma básica:</w:t>
      </w:r>
    </w:p>
    <w:p>
      <w:pPr>
        <w:pStyle w:val="ListBullet"/>
        <w:keepLines w:val="1"/>
        <w:keepNext w:val="1"/>
        <w:widowControl w:val="1"/>
      </w:pPr>
      <w:r>
        <w:t xml:space="preserve">Beneficio_Estimado = Num_Incidentes_Graves_Evitados * Coste_Medio_Incidente_Grave.  </w:t>
      </w:r>
    </w:p>
    <w:p>
      <w:pPr>
        <w:pStyle w:val="ListBullet"/>
        <w:keepLines w:val="1"/>
        <w:widowControl w:val="1"/>
      </w:pPr>
      <w:r>
        <w:t xml:space="preserve">ROI_Basico = (Beneficio_Estimado - Gasto_Seguridad) / Gasto_Seguridad.  </w:t>
      </w:r>
    </w:p>
    <w:p>
      <w:r>
        <w:t>La hoja puede incluir también:</w:t>
      </w:r>
    </w:p>
    <w:p>
      <w:pPr>
        <w:pStyle w:val="ListBullet"/>
        <w:keepLines w:val="1"/>
        <w:keepNext w:val="1"/>
        <w:widowControl w:val="1"/>
      </w:pPr>
      <w:r>
        <w:t xml:space="preserve">IGM_Global (importado de la otra hoja) para explorar correlaciones entre madurez y ROI percibido.  </w:t>
      </w:r>
    </w:p>
    <w:p>
      <w:pPr>
        <w:pStyle w:val="ListBullet"/>
        <w:keepLines w:val="1"/>
        <w:widowControl w:val="1"/>
      </w:pPr>
      <w:r>
        <w:t>Gráficos de dispersión (IGM vs. ROI) para ilustrar tendencias.</w:t>
      </w:r>
    </w:p>
    <w:p>
      <w:pPr>
        <w:pStyle w:val="Heading3"/>
        <w:keepNext/>
        <w:keepLines/>
      </w:pPr>
      <w:r>
        <w:t>4.3. Integración con percepción de ROI</w:t>
      </w:r>
    </w:p>
    <w:p>
      <w:r>
        <w:t xml:space="preserve">Usar </w:t>
      </w:r>
      <w:r>
        <w:rPr>
          <w:rFonts w:ascii="Courier New" w:hAnsi="Courier New"/>
          <w:sz w:val="18"/>
        </w:rPr>
        <w:t>ROI_Percibido</w:t>
      </w:r>
      <w:r>
        <w:t xml:space="preserve"> como contraste:</w:t>
      </w:r>
    </w:p>
    <w:p>
      <w:pPr>
        <w:pStyle w:val="ListBullet"/>
        <w:keepLines w:val="1"/>
        <w:keepNext w:val="1"/>
        <w:widowControl w:val="1"/>
      </w:pPr>
      <w:r>
        <w:t xml:space="preserve">Ver si organizaciones con alto IGM tienden a percibir el ROI como más positivo.  </w:t>
      </w:r>
    </w:p>
    <w:p>
      <w:pPr>
        <w:pStyle w:val="ListBullet"/>
        <w:keepLines w:val="1"/>
        <w:widowControl w:val="1"/>
      </w:pPr>
      <w:r>
        <w:t>Detectar casos con alta inversión pero baja percepción de retorno (o viceversa).</w:t>
      </w:r>
    </w:p>
    <w:p>
      <w:pPr>
        <w:pStyle w:val="Heading2"/>
        <w:keepNext/>
        <w:keepLines/>
      </w:pPr>
      <w:r>
        <w:rPr>
          <w:color w:val="0066CC"/>
        </w:rPr>
        <w:t>5. Hoja Cuadros_Mando</w:t>
      </w:r>
    </w:p>
    <w:p>
      <w:r>
        <w:t>Esta hoja puede incluir:</w:t>
      </w:r>
    </w:p>
    <w:p>
      <w:pPr>
        <w:pStyle w:val="ListBullet"/>
        <w:keepLines w:val="1"/>
        <w:keepNext w:val="1"/>
        <w:widowControl w:val="1"/>
      </w:pPr>
      <w:r>
        <w:t xml:space="preserve">Gráfico de distribución de IGM_Global por sector y tamaño.  </w:t>
      </w:r>
    </w:p>
    <w:p>
      <w:pPr>
        <w:pStyle w:val="ListBullet"/>
        <w:keepLines w:val="1"/>
        <w:keepNext w:val="1"/>
        <w:widowControl w:val="1"/>
      </w:pPr>
      <w:r>
        <w:t xml:space="preserve">Gráfico de radar de madurez por dominio para una organización tipo.  </w:t>
      </w:r>
    </w:p>
    <w:p>
      <w:pPr>
        <w:pStyle w:val="ListBullet"/>
        <w:keepLines w:val="1"/>
        <w:keepNext w:val="1"/>
        <w:widowControl w:val="1"/>
      </w:pPr>
      <w:r>
        <w:t xml:space="preserve">Gráficos de barras de porcentaje de presupuesto en seguridad por grupo.  </w:t>
      </w:r>
    </w:p>
    <w:p>
      <w:pPr>
        <w:pStyle w:val="ListBullet"/>
        <w:keepLines w:val="1"/>
        <w:widowControl w:val="1"/>
      </w:pPr>
      <w:r>
        <w:t>Gráficos de dispersión entre IGM_Global y Num_Incidentes_Graves o ROI_Basico.</w:t>
      </w:r>
    </w:p>
    <w:p>
      <w:pPr>
        <w:pStyle w:val="Heading2"/>
        <w:keepNext/>
        <w:keepLines/>
      </w:pPr>
      <w:r>
        <w:rPr>
          <w:color w:val="0066CC"/>
        </w:rPr>
        <w:t>6. Notas prácticas</w:t>
      </w:r>
    </w:p>
    <w:p>
      <w:pPr>
        <w:pStyle w:val="ListBullet"/>
        <w:keepLines w:val="1"/>
        <w:keepNext w:val="1"/>
        <w:widowControl w:val="1"/>
      </w:pPr>
      <w:r>
        <w:t xml:space="preserve">No es necesario disponer de todos los datos para empezar; la plantilla debe tolerar celdas vacías.  </w:t>
      </w:r>
    </w:p>
    <w:p>
      <w:pPr>
        <w:pStyle w:val="ListBullet"/>
        <w:keepLines w:val="1"/>
        <w:keepNext w:val="1"/>
        <w:widowControl w:val="1"/>
      </w:pPr>
      <w:r>
        <w:t xml:space="preserve">Conviene documentar claramente cualquier supuesto (por ejemplo, coste medio de incidente).  </w:t>
      </w:r>
    </w:p>
    <w:p>
      <w:pPr>
        <w:pStyle w:val="ListBullet"/>
        <w:keepLines w:val="1"/>
        <w:widowControl w:val="1"/>
      </w:pPr>
      <w:r>
        <w:t>La plantilla puede evolucionar a medida que la organización disponga de métricas más precisas (especialmente si integra datos de INES y de herramientas de gestión de incidentes).</w:t>
      </w:r>
    </w:p>
    <w:p>
      <w:r>
        <w:t>La idea no es reducir la ciberseguridad a un par de celdas mágicas, sino poner números razonables donde antes solo había impresiones vagas.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