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GQM + PRAGMATIC (PowerPoint)</w:t>
      </w:r>
    </w:p>
    <w:p>
      <w:r>
        <w:t>Versión ENS–INES para directivos con poco tiempo y mucha responsabilidad.</w:t>
      </w:r>
    </w:p>
    <w:p>
      <w:pPr>
        <w:pStyle w:val="Heading2"/>
        <w:keepNext/>
        <w:keepLines/>
      </w:pPr>
      <w:r>
        <w:rPr>
          <w:color w:val="0066CC"/>
        </w:rPr>
        <w:t>Diapositiva 1.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Ciberseguridad y Madurez ENS–INES – [Año] – [Organización]”.  </w:t>
      </w:r>
    </w:p>
    <w:p>
      <w:pPr>
        <w:pStyle w:val="ListBullet"/>
        <w:keepLines w:val="1"/>
        <w:keepNext w:val="1"/>
        <w:widowControl w:val="1"/>
      </w:pPr>
      <w:r>
        <w:t xml:space="preserve">Subtítulo: “Resumen GQM + PRAGMATIC basado en indicadores ENS–INES”.  </w:t>
      </w:r>
    </w:p>
    <w:p>
      <w:pPr>
        <w:pStyle w:val="ListBullet"/>
        <w:keepLines w:val="1"/>
        <w:widowControl w:val="1"/>
      </w:pPr>
      <w:r>
        <w:t>Datos básicos: fecha, responsable.</w:t>
      </w:r>
    </w:p>
    <w:p>
      <w:pPr>
        <w:pStyle w:val="Heading2"/>
        <w:keepNext/>
        <w:keepLines/>
      </w:pPr>
      <w:r>
        <w:rPr>
          <w:color w:val="0066CC"/>
        </w:rPr>
        <w:t>Diapositiva 2. Por qué estamos aquí</w:t>
      </w:r>
    </w:p>
    <w:p>
      <w:pPr>
        <w:pStyle w:val="ListBullet"/>
        <w:keepLines w:val="1"/>
        <w:keepNext w:val="1"/>
        <w:widowControl w:val="1"/>
      </w:pPr>
      <w:r>
        <w:t xml:space="preserve">ENS y RD 311/2022: obligación de evaluar periódicamente el estado de seguridad.[web:37][web:40]  </w:t>
      </w:r>
    </w:p>
    <w:p>
      <w:pPr>
        <w:pStyle w:val="ListBullet"/>
        <w:keepLines w:val="1"/>
        <w:keepNext w:val="1"/>
        <w:widowControl w:val="1"/>
      </w:pPr>
      <w:r>
        <w:t xml:space="preserve">INES: instrumento nacional de consolidación de indicadores.[web:8][web:33]  </w:t>
      </w:r>
    </w:p>
    <w:p>
      <w:pPr>
        <w:pStyle w:val="ListBullet"/>
        <w:keepLines w:val="1"/>
        <w:widowControl w:val="1"/>
      </w:pPr>
      <w:r>
        <w:t>GQM + PRAGMATIC: enfoque adoptado para asegurarnos de que medimos lo que importa.</w:t>
      </w:r>
    </w:p>
    <w:p>
      <w:pPr>
        <w:pStyle w:val="Heading2"/>
        <w:keepNext/>
        <w:keepLines/>
      </w:pPr>
      <w:r>
        <w:rPr>
          <w:color w:val="0066CC"/>
        </w:rPr>
        <w:t>Diapositiva 3. Metodología en 30 segundos</w:t>
      </w:r>
    </w:p>
    <w:p>
      <w:pPr>
        <w:pStyle w:val="ListBullet"/>
        <w:keepLines w:val="1"/>
        <w:keepNext w:val="1"/>
        <w:widowControl w:val="1"/>
      </w:pPr>
      <w:r>
        <w:t xml:space="preserve">GQM: objetivos → preguntas → métricas.  </w:t>
      </w:r>
    </w:p>
    <w:p>
      <w:pPr>
        <w:pStyle w:val="ListBullet"/>
        <w:keepLines w:val="1"/>
        <w:keepNext w:val="1"/>
        <w:widowControl w:val="1"/>
      </w:pPr>
      <w:r>
        <w:t xml:space="preserve">PRAGMATIC: filtro de calidad para las métricas.  </w:t>
      </w:r>
    </w:p>
    <w:p>
      <w:pPr>
        <w:pStyle w:val="ListBullet"/>
        <w:keepLines w:val="1"/>
        <w:widowControl w:val="1"/>
      </w:pPr>
      <w:r>
        <w:t>Fuentes: encuesta ENS–INES, INES, herramientas SOC/GRC, auditorías.</w:t>
      </w:r>
    </w:p>
    <w:p>
      <w:pPr>
        <w:pStyle w:val="Heading2"/>
        <w:keepNext/>
        <w:keepLines/>
      </w:pPr>
      <w:r>
        <w:rPr>
          <w:color w:val="0066CC"/>
        </w:rPr>
        <w:t>Diapositiva 4. Objetivos ENS–INES considerados</w:t>
      </w:r>
    </w:p>
    <w:p>
      <w:pPr>
        <w:pStyle w:val="ListBullet"/>
        <w:keepLines w:val="1"/>
        <w:keepNext w:val="1"/>
        <w:widowControl w:val="1"/>
      </w:pPr>
      <w:r>
        <w:t xml:space="preserve">Asegurar implantación adecuada de medidas ENS.  </w:t>
      </w:r>
    </w:p>
    <w:p>
      <w:pPr>
        <w:pStyle w:val="ListBullet"/>
        <w:keepLines w:val="1"/>
        <w:keepNext w:val="1"/>
        <w:widowControl w:val="1"/>
      </w:pPr>
      <w:r>
        <w:t xml:space="preserve">Reducir incidentes graves y mejorar resiliencia.  </w:t>
      </w:r>
    </w:p>
    <w:p>
      <w:pPr>
        <w:pStyle w:val="ListBullet"/>
        <w:keepLines w:val="1"/>
        <w:keepNext w:val="1"/>
        <w:widowControl w:val="1"/>
      </w:pPr>
      <w:r>
        <w:t xml:space="preserve">Gestionar riesgos en proveedores y cadena de suministro.  </w:t>
      </w:r>
    </w:p>
    <w:p>
      <w:pPr>
        <w:pStyle w:val="ListBullet"/>
        <w:keepLines w:val="1"/>
        <w:keepNext w:val="1"/>
        <w:widowControl w:val="1"/>
      </w:pPr>
      <w:r>
        <w:t xml:space="preserve">Incrementar madurez de gestión (IGM).  </w:t>
      </w:r>
    </w:p>
    <w:p>
      <w:pPr>
        <w:pStyle w:val="ListBullet"/>
        <w:keepLines w:val="1"/>
        <w:widowControl w:val="1"/>
      </w:pPr>
      <w:r>
        <w:t>Alinear inversión y riesgo, preparar amenazas emergentes.</w:t>
      </w:r>
    </w:p>
    <w:p>
      <w:pPr>
        <w:pStyle w:val="Heading2"/>
        <w:keepNext/>
        <w:keepLines/>
      </w:pPr>
      <w:r>
        <w:rPr>
          <w:color w:val="0066CC"/>
        </w:rPr>
        <w:t>Diapositiva 5.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radar o barras con IGM y dominios (riesgos, identidades, incidentes, continuidad, proveedores, cultura, métricas).  </w:t>
      </w:r>
    </w:p>
    <w:p>
      <w:pPr>
        <w:pStyle w:val="ListBullet"/>
        <w:keepLines w:val="1"/>
        <w:widowControl w:val="1"/>
      </w:pPr>
      <w:r>
        <w:t>Comentario: posición actual vs. objetivo deseado.</w:t>
      </w:r>
    </w:p>
    <w:p>
      <w:pPr>
        <w:pStyle w:val="Heading2"/>
        <w:keepNext/>
        <w:keepLines/>
      </w:pPr>
      <w:r>
        <w:rPr>
          <w:color w:val="0066CC"/>
        </w:rPr>
        <w:t>Diapositiva 6. Tendencia de madurez</w:t>
      </w:r>
    </w:p>
    <w:p>
      <w:pPr>
        <w:pStyle w:val="ListBullet"/>
        <w:keepLines w:val="1"/>
        <w:keepNext w:val="1"/>
        <w:widowControl w:val="1"/>
      </w:pPr>
      <w:r>
        <w:t xml:space="preserve">Gráfico de IGM en los últimos años.  </w:t>
      </w:r>
    </w:p>
    <w:p>
      <w:pPr>
        <w:pStyle w:val="ListBullet"/>
        <w:keepLines w:val="1"/>
        <w:widowControl w:val="1"/>
      </w:pPr>
      <w:r>
        <w:t xml:space="preserve">Señalar mejoras y estancamientos por dominio.  </w:t>
      </w:r>
    </w:p>
    <w:p>
      <w:pPr>
        <w:pStyle w:val="Heading2"/>
        <w:keepNext/>
        <w:keepLines/>
      </w:pPr>
      <w:r>
        <w:rPr>
          <w:color w:val="0066CC"/>
        </w:rPr>
        <w:t>Diapositiva 7. Incidentología y resiliencia</w:t>
      </w:r>
    </w:p>
    <w:p>
      <w:pPr>
        <w:pStyle w:val="ListBullet"/>
        <w:keepLines w:val="1"/>
        <w:keepNext w:val="1"/>
        <w:widowControl w:val="1"/>
      </w:pPr>
      <w:r>
        <w:t xml:space="preserve">Nº incidentes graves / 1.000 activos (2.1.1) y tendencia.  </w:t>
      </w:r>
    </w:p>
    <w:p>
      <w:pPr>
        <w:pStyle w:val="ListBullet"/>
        <w:keepLines w:val="1"/>
        <w:keepNext w:val="1"/>
        <w:widowControl w:val="1"/>
      </w:pPr>
      <w:r>
        <w:t xml:space="preserve">MTTD / MTTR medios (2.2.1, 2.2.2).  </w:t>
      </w:r>
    </w:p>
    <w:p>
      <w:pPr>
        <w:pStyle w:val="ListBullet"/>
        <w:keepLines w:val="1"/>
        <w:keepNext w:val="1"/>
        <w:widowControl w:val="1"/>
      </w:pPr>
      <w:r>
        <w:t xml:space="preserve">Cumplimiento de RTO (3.2.1).  </w:t>
      </w:r>
    </w:p>
    <w:p>
      <w:pPr>
        <w:pStyle w:val="ListBullet"/>
        <w:keepLines w:val="1"/>
        <w:widowControl w:val="1"/>
      </w:pPr>
      <w:r>
        <w:t>Mensaje: ¿estamos reaccionando más rápido? ¿se reduce el impacto?</w:t>
      </w:r>
    </w:p>
    <w:p>
      <w:pPr>
        <w:pStyle w:val="Heading2"/>
        <w:keepNext/>
        <w:keepLines/>
      </w:pPr>
      <w:r>
        <w:rPr>
          <w:color w:val="0066CC"/>
        </w:rPr>
        <w:t>Diapositiva 8. Implantación ENS</w:t>
      </w:r>
    </w:p>
    <w:p>
      <w:pPr>
        <w:pStyle w:val="ListBullet"/>
        <w:keepLines w:val="1"/>
        <w:keepNext w:val="1"/>
        <w:widowControl w:val="1"/>
      </w:pPr>
      <w:r>
        <w:t xml:space="preserve">% medidas ENS implantadas y revisadas (1.1.1, 1.2.1).  </w:t>
      </w:r>
    </w:p>
    <w:p>
      <w:pPr>
        <w:pStyle w:val="ListBullet"/>
        <w:keepLines w:val="1"/>
        <w:keepNext w:val="1"/>
        <w:widowControl w:val="1"/>
      </w:pPr>
      <w:r>
        <w:t xml:space="preserve">Automatización de evidencias (1.3.1).  </w:t>
      </w:r>
    </w:p>
    <w:p>
      <w:pPr>
        <w:pStyle w:val="ListBullet"/>
        <w:keepLines w:val="1"/>
        <w:widowControl w:val="1"/>
      </w:pPr>
      <w:r>
        <w:t>Principales áreas con brecha de implantación.</w:t>
      </w:r>
    </w:p>
    <w:p>
      <w:pPr>
        <w:pStyle w:val="Heading2"/>
        <w:keepNext/>
        <w:keepLines/>
      </w:pPr>
      <w:r>
        <w:rPr>
          <w:color w:val="0066CC"/>
        </w:rPr>
        <w:t>Diapositiva 9. Proveedores y cadena de suministro</w:t>
      </w:r>
    </w:p>
    <w:p>
      <w:pPr>
        <w:pStyle w:val="ListBullet"/>
        <w:keepLines w:val="1"/>
        <w:keepNext w:val="1"/>
        <w:widowControl w:val="1"/>
      </w:pPr>
      <w:r>
        <w:t xml:space="preserve">% contratos con cláusulas ENS/NIS2 (4.1.1).  </w:t>
      </w:r>
    </w:p>
    <w:p>
      <w:pPr>
        <w:pStyle w:val="ListBullet"/>
        <w:keepLines w:val="1"/>
        <w:keepNext w:val="1"/>
        <w:widowControl w:val="1"/>
      </w:pPr>
      <w:r>
        <w:t xml:space="preserve">% proveedores críticos evaluados (4.2.1).  </w:t>
      </w:r>
    </w:p>
    <w:p>
      <w:pPr>
        <w:pStyle w:val="ListBullet"/>
        <w:keepLines w:val="1"/>
        <w:keepNext w:val="1"/>
        <w:widowControl w:val="1"/>
      </w:pPr>
      <w:r>
        <w:t xml:space="preserve">Ejercicios con proveedores (4.3.1).  </w:t>
      </w:r>
    </w:p>
    <w:p>
      <w:pPr>
        <w:pStyle w:val="ListBullet"/>
        <w:keepLines w:val="1"/>
        <w:widowControl w:val="1"/>
      </w:pPr>
      <w:r>
        <w:t>Riesgos residuales principales.</w:t>
      </w:r>
    </w:p>
    <w:p>
      <w:pPr>
        <w:pStyle w:val="Heading2"/>
        <w:keepNext/>
        <w:keepLines/>
      </w:pPr>
      <w:r>
        <w:rPr>
          <w:color w:val="0066CC"/>
        </w:rPr>
        <w:t>Diapositiva 10. IGM y ROI</w:t>
      </w:r>
    </w:p>
    <w:p>
      <w:pPr>
        <w:pStyle w:val="ListBullet"/>
        <w:keepLines w:val="1"/>
        <w:keepNext w:val="1"/>
        <w:widowControl w:val="1"/>
      </w:pPr>
      <w:r>
        <w:t xml:space="preserve">Imagen conjunta de IGM y ROI básico (7.2.1).  </w:t>
      </w:r>
    </w:p>
    <w:p>
      <w:pPr>
        <w:pStyle w:val="ListBullet"/>
        <w:keepLines w:val="1"/>
        <w:keepNext w:val="1"/>
        <w:widowControl w:val="1"/>
      </w:pPr>
      <w:r>
        <w:t xml:space="preserve">Segmentación por unidades o servicios críticos.  </w:t>
      </w:r>
    </w:p>
    <w:p>
      <w:pPr>
        <w:pStyle w:val="ListBullet"/>
        <w:keepLines w:val="1"/>
        <w:widowControl w:val="1"/>
      </w:pPr>
      <w:r>
        <w:t>Mensaje: dónde la inversión parece mejor aprovechada y dónde no.</w:t>
      </w:r>
    </w:p>
    <w:p>
      <w:pPr>
        <w:pStyle w:val="Heading2"/>
        <w:keepNext/>
        <w:keepLines/>
      </w:pPr>
      <w:r>
        <w:rPr>
          <w:color w:val="0066CC"/>
        </w:rPr>
        <w:t>Diapositiva 11. PRAGMATIC: salud del sistema de métricas</w:t>
      </w:r>
    </w:p>
    <w:p>
      <w:pPr>
        <w:pStyle w:val="ListBullet"/>
        <w:keepLines w:val="1"/>
        <w:keepNext w:val="1"/>
        <w:widowControl w:val="1"/>
      </w:pPr>
      <w:r>
        <w:t xml:space="preserve">Resumen de puntuaciones PRAGMATIC (por dominio).  </w:t>
      </w:r>
    </w:p>
    <w:p>
      <w:pPr>
        <w:pStyle w:val="ListBullet"/>
        <w:keepLines w:val="1"/>
        <w:keepNext w:val="1"/>
        <w:widowControl w:val="1"/>
      </w:pPr>
      <w:r>
        <w:t xml:space="preserve">Métricas “estrella” y métricas en revisión.  </w:t>
      </w:r>
    </w:p>
    <w:p>
      <w:pPr>
        <w:pStyle w:val="ListBullet"/>
        <w:keepLines w:val="1"/>
        <w:widowControl w:val="1"/>
      </w:pPr>
      <w:r>
        <w:t>Compromiso: mantener un set de indicadores ligero y útil.</w:t>
      </w:r>
    </w:p>
    <w:p>
      <w:pPr>
        <w:pStyle w:val="Heading2"/>
        <w:keepNext/>
        <w:keepLines/>
      </w:pPr>
      <w:r>
        <w:rPr>
          <w:color w:val="0066CC"/>
        </w:rPr>
        <w:t>Diapositiva 12. Riesgos emergentes</w:t>
      </w:r>
    </w:p>
    <w:p>
      <w:pPr>
        <w:pStyle w:val="ListBullet"/>
        <w:keepLines w:val="1"/>
        <w:keepNext w:val="1"/>
        <w:widowControl w:val="1"/>
      </w:pPr>
      <w:r>
        <w:t xml:space="preserve">Estado preparación post‑cuántica (8.1.1).  </w:t>
      </w:r>
    </w:p>
    <w:p>
      <w:pPr>
        <w:pStyle w:val="ListBullet"/>
        <w:keepLines w:val="1"/>
        <w:keepNext w:val="1"/>
        <w:widowControl w:val="1"/>
      </w:pPr>
      <w:r>
        <w:t xml:space="preserve">Gestión de riesgos en IA (8.2.1).  </w:t>
      </w:r>
    </w:p>
    <w:p>
      <w:pPr>
        <w:pStyle w:val="ListBullet"/>
        <w:keepLines w:val="1"/>
        <w:widowControl w:val="1"/>
      </w:pPr>
      <w:r>
        <w:t>Próximos pasos para incorporarlos en ENS–INES.</w:t>
      </w:r>
    </w:p>
    <w:p>
      <w:pPr>
        <w:pStyle w:val="Heading2"/>
        <w:keepNext/>
        <w:keepLines/>
      </w:pPr>
      <w:r>
        <w:rPr>
          <w:color w:val="0066CC"/>
        </w:rPr>
        <w:t>Diapositiva 13. Top brechas y prioridades</w:t>
      </w:r>
    </w:p>
    <w:p>
      <w:pPr>
        <w:pStyle w:val="ListBullet"/>
        <w:keepLines w:val="1"/>
        <w:keepNext w:val="1"/>
        <w:widowControl w:val="1"/>
      </w:pPr>
      <w:r>
        <w:t xml:space="preserve">Top 5 brechas (por ejemplo, madurez en proveedores, tiempos de respuesta, automatización de evidencias).  </w:t>
      </w:r>
    </w:p>
    <w:p>
      <w:pPr>
        <w:pStyle w:val="ListBullet"/>
        <w:keepLines w:val="1"/>
        <w:widowControl w:val="1"/>
      </w:pPr>
      <w:r>
        <w:t>Top 5 acciones prioritarias (12–24 meses).</w:t>
      </w:r>
    </w:p>
    <w:p>
      <w:pPr>
        <w:pStyle w:val="Heading2"/>
        <w:keepNext/>
        <w:keepLines/>
      </w:pPr>
      <w:r>
        <w:rPr>
          <w:color w:val="0066CC"/>
        </w:rPr>
        <w:t>Diapositiva 14. Petición a la dirección</w:t>
      </w:r>
    </w:p>
    <w:p>
      <w:pPr>
        <w:pStyle w:val="ListBullet"/>
        <w:keepLines w:val="1"/>
        <w:keepNext w:val="1"/>
        <w:widowControl w:val="1"/>
      </w:pPr>
      <w:r>
        <w:t xml:space="preserve">Recursos, decisiones y patrocinios necesarios para ejecutar el plan.  </w:t>
      </w:r>
    </w:p>
    <w:p>
      <w:pPr>
        <w:pStyle w:val="ListBullet"/>
        <w:keepLines w:val="1"/>
        <w:widowControl w:val="1"/>
      </w:pPr>
      <w:r>
        <w:t>Qué se medirá para comprobar el éxito (IGM, incidentes, ROI).</w:t>
      </w:r>
    </w:p>
    <w:p>
      <w:pPr>
        <w:pStyle w:val="Heading2"/>
        <w:keepNext/>
        <w:keepLines/>
      </w:pPr>
      <w:r>
        <w:rPr>
          <w:color w:val="0066CC"/>
        </w:rPr>
        <w:t>Diapositiva 15. Cierre</w:t>
      </w:r>
    </w:p>
    <w:p>
      <w:pPr>
        <w:pStyle w:val="ListBullet"/>
        <w:keepLines w:val="1"/>
        <w:keepNext w:val="1"/>
        <w:widowControl w:val="1"/>
      </w:pPr>
      <w:r>
        <w:t xml:space="preserve">Mensaje de síntesis: cómo estamos, dónde queremos estar, qué camino se propone.  </w:t>
      </w:r>
    </w:p>
    <w:p>
      <w:pPr>
        <w:pStyle w:val="ListBullet"/>
        <w:keepLines w:val="1"/>
        <w:widowControl w:val="1"/>
      </w:pPr>
      <w:r>
        <w:t>Contacto del responsable ENS–INES.</w:t>
      </w:r>
    </w:p>
    <w:p>
      <w:r>
        <w:t>El objetivo de esta plantilla es que ningún gráfico tenga que ser explicado dos veces.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