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en PowerPoint (ENS–INES)</w:t>
      </w:r>
    </w:p>
    <w:p>
      <w:r>
        <w:t>Guion en Markdown para construir una presentación ejecutiva dirigida a la alta dirección o a órganos de gobierno.</w:t>
      </w:r>
    </w:p>
    <w:p>
      <w:pPr>
        <w:pStyle w:val="Heading2"/>
        <w:keepNext/>
        <w:keepLines/>
      </w:pPr>
      <w:r>
        <w:rPr>
          <w:color w:val="0066CC"/>
        </w:rPr>
        <w:t>Diapositiva 1. Portada</w:t>
      </w:r>
    </w:p>
    <w:p>
      <w:pPr>
        <w:pStyle w:val="ListBullet"/>
        <w:keepLines w:val="1"/>
        <w:keepNext w:val="1"/>
        <w:widowControl w:val="1"/>
      </w:pPr>
      <w:r>
        <w:t xml:space="preserve">Título: “Estado de Ciberseguridad y Madurez ENS–INES – [Año] – [Organización]”.  </w:t>
      </w:r>
    </w:p>
    <w:p>
      <w:pPr>
        <w:pStyle w:val="ListBullet"/>
        <w:keepLines w:val="1"/>
        <w:keepNext w:val="1"/>
        <w:widowControl w:val="1"/>
      </w:pPr>
      <w:r>
        <w:t xml:space="preserve">Subtítulo: “Informe ejecutivo basado en encuesta interna y métricas ENS–INES”.  </w:t>
      </w:r>
    </w:p>
    <w:p>
      <w:pPr>
        <w:pStyle w:val="ListBullet"/>
        <w:keepLines w:val="1"/>
        <w:widowControl w:val="1"/>
      </w:pPr>
      <w:r>
        <w:t>Datos: fecha, nombre del responsable, área.</w:t>
      </w:r>
    </w:p>
    <w:p>
      <w:pPr>
        <w:pStyle w:val="Heading2"/>
        <w:keepNext/>
        <w:keepLines/>
      </w:pPr>
      <w:r>
        <w:rPr>
          <w:color w:val="0066CC"/>
        </w:rPr>
        <w:t>Diapositiva 2. Contexto y propósito</w:t>
      </w:r>
    </w:p>
    <w:p>
      <w:pPr>
        <w:pStyle w:val="ListBullet"/>
        <w:keepLines w:val="1"/>
        <w:keepNext w:val="1"/>
        <w:widowControl w:val="1"/>
      </w:pPr>
      <w:r>
        <w:t xml:space="preserve">Breve descripción del ENS, del RD 311/2022 y de la obligación de evaluar el estado de la seguridad (INES).[web:8][web:37][web:39]  </w:t>
      </w:r>
    </w:p>
    <w:p>
      <w:pPr>
        <w:pStyle w:val="ListBullet"/>
        <w:keepLines w:val="1"/>
        <w:widowControl w:val="1"/>
      </w:pPr>
      <w:r>
        <w:t xml:space="preserve">Propósito del informe: ofrecer una visión clara y honesta del nivel de madurez y del grado de adecuación de la organización, con foco en decisiones.  </w:t>
      </w:r>
    </w:p>
    <w:p>
      <w:pPr>
        <w:pStyle w:val="Heading2"/>
        <w:keepNext/>
        <w:keepLines/>
      </w:pPr>
      <w:r>
        <w:rPr>
          <w:color w:val="0066CC"/>
        </w:rPr>
        <w:t>Diapositiva 3. Alcance de la evaluación</w:t>
      </w:r>
    </w:p>
    <w:p>
      <w:pPr>
        <w:pStyle w:val="ListBullet"/>
        <w:keepLines w:val="1"/>
        <w:keepNext w:val="1"/>
        <w:widowControl w:val="1"/>
      </w:pPr>
      <w:r>
        <w:t xml:space="preserve">Tipo de entidades / unidades incluidas.  </w:t>
      </w:r>
    </w:p>
    <w:p>
      <w:pPr>
        <w:pStyle w:val="ListBullet"/>
        <w:keepLines w:val="1"/>
        <w:keepNext w:val="1"/>
        <w:widowControl w:val="1"/>
      </w:pPr>
      <w:r>
        <w:t xml:space="preserve">Sistemas bajo ENS (categorías Básica, Media, Alta).  </w:t>
      </w:r>
    </w:p>
    <w:p>
      <w:pPr>
        <w:pStyle w:val="ListBullet"/>
        <w:keepLines w:val="1"/>
        <w:widowControl w:val="1"/>
      </w:pPr>
      <w:r>
        <w:t xml:space="preserve">Periodo de referencia (últimos 12 meses).  </w:t>
      </w:r>
    </w:p>
    <w:p>
      <w:pPr>
        <w:pStyle w:val="Heading2"/>
        <w:keepNext/>
        <w:keepLines/>
      </w:pPr>
      <w:r>
        <w:rPr>
          <w:color w:val="0066CC"/>
        </w:rPr>
        <w:t>Diapositiva 4. Metodología</w:t>
      </w:r>
    </w:p>
    <w:p>
      <w:pPr>
        <w:pStyle w:val="ListBullet"/>
        <w:keepLines w:val="1"/>
        <w:keepNext w:val="1"/>
        <w:widowControl w:val="1"/>
      </w:pPr>
      <w:r>
        <w:t xml:space="preserve">Referencias: ENS, INES, CCN‑STIC 815 y 824.[web:20][web:33]  </w:t>
      </w:r>
    </w:p>
    <w:p>
      <w:pPr>
        <w:pStyle w:val="ListBullet"/>
        <w:keepLines w:val="1"/>
        <w:keepNext w:val="1"/>
        <w:widowControl w:val="1"/>
      </w:pPr>
      <w:r>
        <w:t xml:space="preserve">Uso de la encuesta integral, número de respuestas, rol de los participantes.  </w:t>
      </w:r>
    </w:p>
    <w:p>
      <w:pPr>
        <w:pStyle w:val="ListBullet"/>
        <w:keepLines w:val="1"/>
        <w:widowControl w:val="1"/>
      </w:pPr>
      <w:r>
        <w:t>Integración de datos existentes (incidentes, auditorías, INES previo).</w:t>
      </w:r>
    </w:p>
    <w:p>
      <w:pPr>
        <w:pStyle w:val="Heading2"/>
        <w:keepNext/>
        <w:keepLines/>
      </w:pPr>
      <w:r>
        <w:rPr>
          <w:color w:val="0066CC"/>
        </w:rPr>
        <w:t>Diapositiva 5. Fotografía global de madurez (IGM)</w:t>
      </w:r>
    </w:p>
    <w:p>
      <w:pPr>
        <w:pStyle w:val="ListBullet"/>
        <w:keepLines w:val="1"/>
        <w:keepNext w:val="1"/>
        <w:widowControl w:val="1"/>
      </w:pPr>
      <w:r>
        <w:t xml:space="preserve">Gráfico (barra o radar) con el Índice Global de Madurez y los dominios (riesgos, identidades, incidentes, continuidad, proveedores, formación, métricas).  </w:t>
      </w:r>
    </w:p>
    <w:p>
      <w:pPr>
        <w:pStyle w:val="ListBullet"/>
        <w:keepLines w:val="1"/>
        <w:widowControl w:val="1"/>
      </w:pPr>
      <w:r>
        <w:t xml:space="preserve">Comparación con el año anterior (si existe).  </w:t>
      </w:r>
    </w:p>
    <w:p>
      <w:pPr>
        <w:pStyle w:val="Heading2"/>
        <w:keepNext/>
        <w:keepLines/>
      </w:pPr>
      <w:r>
        <w:rPr>
          <w:color w:val="0066CC"/>
        </w:rPr>
        <w:t>Diapositiva 6. Gobierno y estrategia</w:t>
      </w:r>
    </w:p>
    <w:p>
      <w:pPr>
        <w:pStyle w:val="ListBullet"/>
        <w:keepLines w:val="1"/>
        <w:keepNext w:val="1"/>
        <w:widowControl w:val="1"/>
      </w:pPr>
      <w:r>
        <w:t xml:space="preserve">Porcentaje de unidades con política de seguridad aprobada y actualizada.  </w:t>
      </w:r>
    </w:p>
    <w:p>
      <w:pPr>
        <w:pStyle w:val="ListBullet"/>
        <w:keepLines w:val="1"/>
        <w:keepNext w:val="1"/>
        <w:widowControl w:val="1"/>
      </w:pPr>
      <w:r>
        <w:t xml:space="preserve">Existencia de estrategia o plan director de ciberseguridad.  </w:t>
      </w:r>
    </w:p>
    <w:p>
      <w:pPr>
        <w:pStyle w:val="ListBullet"/>
        <w:keepLines w:val="1"/>
        <w:widowControl w:val="1"/>
      </w:pPr>
      <w:r>
        <w:t>Frecuencia de reporting a la alta dirección.</w:t>
      </w:r>
    </w:p>
    <w:p>
      <w:pPr>
        <w:pStyle w:val="Heading2"/>
        <w:keepNext/>
        <w:keepLines/>
      </w:pPr>
      <w:r>
        <w:rPr>
          <w:color w:val="0066CC"/>
        </w:rPr>
        <w:t>Diapositiva 7. Implantación de medidas ENS</w:t>
      </w:r>
    </w:p>
    <w:p>
      <w:pPr>
        <w:pStyle w:val="ListBullet"/>
        <w:keepLines w:val="1"/>
        <w:keepNext w:val="1"/>
        <w:widowControl w:val="1"/>
      </w:pPr>
      <w:r>
        <w:t xml:space="preserve">Nivel global de implantación (porcentaje aproximado de medidas aplicables).  </w:t>
      </w:r>
    </w:p>
    <w:p>
      <w:pPr>
        <w:pStyle w:val="ListBullet"/>
        <w:keepLines w:val="1"/>
        <w:keepNext w:val="1"/>
        <w:widowControl w:val="1"/>
      </w:pPr>
      <w:r>
        <w:t xml:space="preserve">Áreas más adelantadas y más retrasadas (a alto nivel, sin entrar en tecnicismos).  </w:t>
      </w:r>
    </w:p>
    <w:p>
      <w:pPr>
        <w:pStyle w:val="ListBullet"/>
        <w:keepLines w:val="1"/>
        <w:widowControl w:val="1"/>
      </w:pPr>
      <w:r>
        <w:t>Grado de automatización en la recopilación de evidencias.</w:t>
      </w:r>
    </w:p>
    <w:p>
      <w:pPr>
        <w:pStyle w:val="Heading2"/>
        <w:keepNext/>
        <w:keepLines/>
      </w:pPr>
      <w:r>
        <w:rPr>
          <w:color w:val="0066CC"/>
        </w:rPr>
        <w:t>Diapositiva 8. Incidentes, eficacia y resiliencia</w:t>
      </w:r>
    </w:p>
    <w:p>
      <w:pPr>
        <w:pStyle w:val="ListBullet"/>
        <w:keepLines w:val="1"/>
        <w:keepNext w:val="1"/>
        <w:widowControl w:val="1"/>
      </w:pPr>
      <w:r>
        <w:t xml:space="preserve">Número de incidentes relevantes en el periodo y su tendencia.  </w:t>
      </w:r>
    </w:p>
    <w:p>
      <w:pPr>
        <w:pStyle w:val="ListBullet"/>
        <w:keepLines w:val="1"/>
        <w:keepNext w:val="1"/>
        <w:widowControl w:val="1"/>
      </w:pPr>
      <w:r>
        <w:t xml:space="preserve">Tiempos medios de detección y respuesta (cuando se disponga).  </w:t>
      </w:r>
    </w:p>
    <w:p>
      <w:pPr>
        <w:pStyle w:val="ListBullet"/>
        <w:keepLines w:val="1"/>
        <w:widowControl w:val="1"/>
      </w:pPr>
      <w:r>
        <w:t>Impacto en servicios críticos, foco en continuidad de negocio.</w:t>
      </w:r>
    </w:p>
    <w:p>
      <w:pPr>
        <w:pStyle w:val="Heading2"/>
        <w:keepNext/>
        <w:keepLines/>
      </w:pPr>
      <w:r>
        <w:rPr>
          <w:color w:val="0066CC"/>
        </w:rPr>
        <w:t>Diapositiva 9. Proveedores y cadena de suministro</w:t>
      </w:r>
    </w:p>
    <w:p>
      <w:pPr>
        <w:pStyle w:val="ListBullet"/>
        <w:keepLines w:val="1"/>
        <w:keepNext w:val="1"/>
        <w:widowControl w:val="1"/>
      </w:pPr>
      <w:r>
        <w:t xml:space="preserve">Visión general de la dependencia de proveedores críticos.  </w:t>
      </w:r>
    </w:p>
    <w:p>
      <w:pPr>
        <w:pStyle w:val="ListBullet"/>
        <w:keepLines w:val="1"/>
        <w:keepNext w:val="1"/>
        <w:widowControl w:val="1"/>
      </w:pPr>
      <w:r>
        <w:t xml:space="preserve">Grado de incorporación de cláusulas ENS/NIS2 en contratos.  </w:t>
      </w:r>
    </w:p>
    <w:p>
      <w:pPr>
        <w:pStyle w:val="ListBullet"/>
        <w:keepLines w:val="1"/>
        <w:widowControl w:val="1"/>
      </w:pPr>
      <w:r>
        <w:t>Integración de proveedores en la gestión de ciberincidentes y cibercrisis.</w:t>
      </w:r>
    </w:p>
    <w:p>
      <w:pPr>
        <w:pStyle w:val="Heading2"/>
        <w:keepNext/>
        <w:keepLines/>
      </w:pPr>
      <w:r>
        <w:rPr>
          <w:color w:val="0066CC"/>
        </w:rPr>
        <w:t>Diapositiva 10. Recursos e inversión</w:t>
      </w:r>
    </w:p>
    <w:p>
      <w:pPr>
        <w:pStyle w:val="ListBullet"/>
        <w:keepLines w:val="1"/>
        <w:keepNext w:val="1"/>
        <w:widowControl w:val="1"/>
      </w:pPr>
      <w:r>
        <w:t xml:space="preserve">Porcentaje medio de presupuesto TIC dedicado a seguridad.  </w:t>
      </w:r>
    </w:p>
    <w:p>
      <w:pPr>
        <w:pStyle w:val="ListBullet"/>
        <w:keepLines w:val="1"/>
        <w:keepNext w:val="1"/>
        <w:widowControl w:val="1"/>
      </w:pPr>
      <w:r>
        <w:t xml:space="preserve">Número de FTE de seguridad.  </w:t>
      </w:r>
    </w:p>
    <w:p>
      <w:pPr>
        <w:pStyle w:val="ListBullet"/>
        <w:keepLines w:val="1"/>
        <w:widowControl w:val="1"/>
      </w:pPr>
      <w:r>
        <w:t>Mensaje clave sobre suficiencia o carencias respecto al nivel de riesgo.</w:t>
      </w:r>
    </w:p>
    <w:p>
      <w:pPr>
        <w:pStyle w:val="Heading2"/>
        <w:keepNext/>
        <w:keepLines/>
      </w:pPr>
      <w:r>
        <w:rPr>
          <w:color w:val="0066CC"/>
        </w:rPr>
        <w:t>Diapositiva 11. ROI y beneficios observados</w:t>
      </w:r>
    </w:p>
    <w:p>
      <w:pPr>
        <w:pStyle w:val="ListBullet"/>
        <w:keepLines w:val="1"/>
        <w:keepNext w:val="1"/>
        <w:widowControl w:val="1"/>
      </w:pPr>
      <w:r>
        <w:t xml:space="preserve">Resultados sintéticos de la hoja de ROI: escenarios de beneficio estimado frente a inversión.  </w:t>
      </w:r>
    </w:p>
    <w:p>
      <w:pPr>
        <w:pStyle w:val="ListBullet"/>
        <w:keepLines w:val="1"/>
        <w:keepNext w:val="1"/>
        <w:widowControl w:val="1"/>
      </w:pPr>
      <w:r>
        <w:t xml:space="preserve">Ejemplos de incidentes mitigados o evitados (sin detalles sensibles).  </w:t>
      </w:r>
    </w:p>
    <w:p>
      <w:pPr>
        <w:pStyle w:val="ListBullet"/>
        <w:keepLines w:val="1"/>
        <w:widowControl w:val="1"/>
      </w:pPr>
      <w:r>
        <w:t>Percepción de ROI por parte de las unidades.</w:t>
      </w:r>
    </w:p>
    <w:p>
      <w:pPr>
        <w:pStyle w:val="Heading2"/>
        <w:keepNext/>
        <w:keepLines/>
      </w:pPr>
      <w:r>
        <w:rPr>
          <w:color w:val="0066CC"/>
        </w:rPr>
        <w:t>Diapositiva 12. Uso de INES</w:t>
      </w:r>
    </w:p>
    <w:p>
      <w:pPr>
        <w:pStyle w:val="ListBullet"/>
        <w:keepLines w:val="1"/>
        <w:keepNext w:val="1"/>
        <w:widowControl w:val="1"/>
      </w:pPr>
      <w:r>
        <w:t xml:space="preserve">Grado de aprovechamiento de INES como herramienta de gestión, no solo de reporte.  </w:t>
      </w:r>
    </w:p>
    <w:p>
      <w:pPr>
        <w:pStyle w:val="ListBullet"/>
        <w:keepLines w:val="1"/>
        <w:keepNext w:val="1"/>
        <w:widowControl w:val="1"/>
      </w:pPr>
      <w:r>
        <w:t xml:space="preserve">Evolución respecto al informe INES anterior (si aplica).  </w:t>
      </w:r>
    </w:p>
    <w:p>
      <w:pPr>
        <w:pStyle w:val="ListBullet"/>
        <w:keepLines w:val="1"/>
        <w:widowControl w:val="1"/>
      </w:pPr>
      <w:r>
        <w:t>Próximos pasos para integrar mejor INES con el cuadro de mando interno.</w:t>
      </w:r>
    </w:p>
    <w:p>
      <w:pPr>
        <w:pStyle w:val="Heading2"/>
        <w:keepNext/>
        <w:keepLines/>
      </w:pPr>
      <w:r>
        <w:rPr>
          <w:color w:val="0066CC"/>
        </w:rPr>
        <w:t>Diapositiva 13. Riesgos emergentes (IA, post‑cuántico, etc.)</w:t>
      </w:r>
    </w:p>
    <w:p>
      <w:pPr>
        <w:pStyle w:val="ListBullet"/>
        <w:keepLines w:val="1"/>
        <w:keepNext w:val="1"/>
        <w:widowControl w:val="1"/>
      </w:pPr>
      <w:r>
        <w:t xml:space="preserve">Situación actual respecto al uso de IA y a la preparación post‑cuántica.  </w:t>
      </w:r>
    </w:p>
    <w:p>
      <w:pPr>
        <w:pStyle w:val="ListBullet"/>
        <w:keepLines w:val="1"/>
        <w:keepNext w:val="1"/>
        <w:widowControl w:val="1"/>
      </w:pPr>
      <w:r>
        <w:t xml:space="preserve">Principales riesgos identificados a medio plazo.  </w:t>
      </w:r>
    </w:p>
    <w:p>
      <w:pPr>
        <w:pStyle w:val="ListBullet"/>
        <w:keepLines w:val="1"/>
        <w:widowControl w:val="1"/>
      </w:pPr>
      <w:r>
        <w:t>Necesidad de incorporar estos elementos a la planificación ENS.</w:t>
      </w:r>
    </w:p>
    <w:p>
      <w:pPr>
        <w:pStyle w:val="Heading2"/>
        <w:keepNext/>
        <w:keepLines/>
      </w:pPr>
      <w:r>
        <w:rPr>
          <w:color w:val="0066CC"/>
        </w:rPr>
        <w:t>Diapositiva 14. Principales brechas y oportunidades</w:t>
      </w:r>
    </w:p>
    <w:p>
      <w:pPr>
        <w:pStyle w:val="ListBullet"/>
        <w:keepLines w:val="1"/>
        <w:keepNext w:val="1"/>
        <w:widowControl w:val="1"/>
      </w:pPr>
      <w:r>
        <w:t xml:space="preserve">Listado de 3–5 grandes brechas (gobierno, implantación, recursos, proveedores, etc.).  </w:t>
      </w:r>
    </w:p>
    <w:p>
      <w:pPr>
        <w:pStyle w:val="ListBullet"/>
        <w:keepLines w:val="1"/>
        <w:widowControl w:val="1"/>
      </w:pPr>
      <w:r>
        <w:t xml:space="preserve">Listado de 3–5 oportunidades de mejora rápida (quick wins).  </w:t>
      </w:r>
    </w:p>
    <w:p>
      <w:pPr>
        <w:pStyle w:val="Heading2"/>
        <w:keepNext/>
        <w:keepLines/>
      </w:pPr>
      <w:r>
        <w:rPr>
          <w:color w:val="0066CC"/>
        </w:rPr>
        <w:t>Diapositiva 15. Plan de acción propuesto</w:t>
      </w:r>
    </w:p>
    <w:p>
      <w:pPr>
        <w:pStyle w:val="ListBullet"/>
        <w:keepLines w:val="1"/>
        <w:keepNext w:val="1"/>
        <w:widowControl w:val="1"/>
      </w:pPr>
      <w:r>
        <w:t xml:space="preserve">Resumen de líneas de acción prioritarias (12–24 meses).  </w:t>
      </w:r>
    </w:p>
    <w:p>
      <w:pPr>
        <w:pStyle w:val="ListBullet"/>
        <w:keepLines w:val="1"/>
        <w:keepNext w:val="1"/>
        <w:widowControl w:val="1"/>
      </w:pPr>
      <w:r>
        <w:t xml:space="preserve">Dependencias clave (presupuesto, personas, apoyo directivo).  </w:t>
      </w:r>
    </w:p>
    <w:p>
      <w:pPr>
        <w:pStyle w:val="ListBullet"/>
        <w:keepLines w:val="1"/>
        <w:widowControl w:val="1"/>
      </w:pPr>
      <w:r>
        <w:t>Indicadores de éxito (ligados a ENS–INES y a métricas internas).</w:t>
      </w:r>
    </w:p>
    <w:p>
      <w:pPr>
        <w:pStyle w:val="Heading2"/>
        <w:keepNext/>
        <w:keepLines/>
      </w:pPr>
      <w:r>
        <w:rPr>
          <w:color w:val="0066CC"/>
        </w:rPr>
        <w:t>Diapositiva 16. Cierre</w:t>
      </w:r>
    </w:p>
    <w:p>
      <w:pPr>
        <w:pStyle w:val="ListBullet"/>
        <w:keepLines w:val="1"/>
        <w:keepNext w:val="1"/>
        <w:widowControl w:val="1"/>
      </w:pPr>
      <w:r>
        <w:t xml:space="preserve">Mensaje final: posición actual, ambición deseada y compromiso necesario.  </w:t>
      </w:r>
    </w:p>
    <w:p>
      <w:pPr>
        <w:pStyle w:val="ListBullet"/>
        <w:keepLines w:val="1"/>
        <w:widowControl w:val="1"/>
      </w:pPr>
      <w:r>
        <w:t xml:space="preserve">Contacto del responsable de seguridad / proyecto ENS–INES.  </w:t>
      </w:r>
    </w:p>
    <w:p>
      <w:r>
        <w:t>La presentación puede adornarse con gráficos sencillos pero claros; el objetivo es que incluso quien nunca haya oído hablar de la CCN‑STIC 815 entienda hacia dónde debe avanzar la organización.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