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de Encuesta INES–ENS</w:t>
      </w:r>
    </w:p>
    <w:p>
      <w:r>
        <w:t>Bienvenido/a al pequeño laboratorio donde el ENS, INES y su organización se encuentran para hablar de madurez, riesgos y otras criaturas digitales.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ficheros en formato Markdown:</w:t>
      </w:r>
    </w:p>
    <w:p>
      <w:pPr>
        <w:pStyle w:val="ListBullet"/>
        <w:keepLines w:val="1"/>
        <w:keepNext w:val="1"/>
        <w:widowControl w:val="1"/>
      </w:pPr>
      <w:r>
        <w:t xml:space="preserve">encuesta_integral_ines_ens.md: cuestionario completo para responsables de organizaciones.  </w:t>
      </w:r>
    </w:p>
    <w:p>
      <w:pPr>
        <w:pStyle w:val="ListBullet"/>
        <w:keepLines w:val="1"/>
        <w:keepNext w:val="1"/>
        <w:widowControl w:val="1"/>
      </w:pPr>
      <w:r>
        <w:t xml:space="preserve">guia_metodologica_ines_ens.md: instrucciones para aplicar la encuesta y explotar resultados.  </w:t>
      </w:r>
    </w:p>
    <w:p>
      <w:pPr>
        <w:pStyle w:val="ListBullet"/>
        <w:keepLines w:val="1"/>
        <w:keepNext w:val="1"/>
        <w:widowControl w:val="1"/>
      </w:pPr>
      <w:r>
        <w:t xml:space="preserve">narrativa_encuesta_ines_ens.md: texto explicativo para contextualizar y “vender” la iniciativa internamente.  </w:t>
      </w:r>
    </w:p>
    <w:p>
      <w:pPr>
        <w:pStyle w:val="ListBullet"/>
        <w:keepLines w:val="1"/>
        <w:keepNext w:val="1"/>
        <w:widowControl w:val="1"/>
      </w:pPr>
      <w:r>
        <w:t xml:space="preserve">mapeo_preguntas_requisitos_ines_ens.md: tabla de trazabilidad entre preguntas y referencias ENS–INES.  </w:t>
      </w:r>
    </w:p>
    <w:p>
      <w:pPr>
        <w:pStyle w:val="ListBullet"/>
        <w:keepLines w:val="1"/>
        <w:keepNext w:val="1"/>
        <w:widowControl w:val="1"/>
      </w:pPr>
      <w:r>
        <w:t xml:space="preserve">plantilla_excel_igm_roi_ines_ens.md: descripción de una hoja de cálculo para IGM y ROI.  </w:t>
      </w:r>
    </w:p>
    <w:p>
      <w:pPr>
        <w:pStyle w:val="ListBullet"/>
        <w:keepLines w:val="1"/>
        <w:widowControl w:val="1"/>
      </w:pPr>
      <w:r>
        <w:t>plantilla_reporte_ejecutivo_ines_ens.md: guion de presentación para la alta dirección.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t xml:space="preserve">Lea la narrativa_encuesta_ines_ens.md para entender el enfoque general y facilitar la comunicación.[web:8][web:37][web:33]  </w:t>
      </w:r>
    </w:p>
    <w:p>
      <w:pPr>
        <w:pStyle w:val="ListNumber"/>
        <w:keepLines w:val="1"/>
        <w:keepNext w:val="1"/>
        <w:widowControl w:val="1"/>
      </w:pPr>
      <w:r>
        <w:t xml:space="preserve">Revise la guia_metodologica_ines_ens.md para decidir el modo de aplicación (auto, coordinado, auditoría).  </w:t>
      </w:r>
    </w:p>
    <w:p>
      <w:pPr>
        <w:pStyle w:val="ListNumber"/>
        <w:keepLines w:val="1"/>
        <w:keepNext w:val="1"/>
        <w:widowControl w:val="1"/>
      </w:pPr>
      <w:r>
        <w:t xml:space="preserve">Adapte, si es necesario, encuesta_integral_ines_ens.md a su contexto sectorial sin perder la numeración.  </w:t>
      </w:r>
    </w:p>
    <w:p>
      <w:pPr>
        <w:pStyle w:val="ListNumber"/>
        <w:keepLines w:val="1"/>
        <w:keepNext w:val="1"/>
        <w:widowControl w:val="1"/>
      </w:pPr>
      <w:r>
        <w:t xml:space="preserve">Prepare un formulario (online o en herramienta GRC) basado en la encuesta.  </w:t>
      </w:r>
    </w:p>
    <w:p>
      <w:pPr>
        <w:pStyle w:val="ListNumber"/>
        <w:keepLines w:val="1"/>
        <w:widowControl w:val="1"/>
      </w:pPr>
      <w:r>
        <w:t>Defina el calendario de aplicación y el plan de análisis de resultados.</w:t>
      </w:r>
    </w:p>
    <w:p>
      <w:pPr>
        <w:pStyle w:val="Heading2"/>
        <w:keepNext/>
        <w:keepLines/>
      </w:pPr>
      <w:r>
        <w:rPr>
          <w:color w:val="0066CC"/>
        </w:rPr>
        <w:t>3. Uso recomendado en el ciclo ENS–INES</w:t>
      </w:r>
    </w:p>
    <w:p>
      <w:pPr>
        <w:pStyle w:val="ListBullet"/>
        <w:keepLines w:val="1"/>
        <w:keepNext w:val="1"/>
        <w:widowControl w:val="1"/>
      </w:pPr>
      <w:r>
        <w:t xml:space="preserve">Antes del envío anual de INES: utilice la encuesta para consolidar información y detectar lagunas.[web:8][web:33]  </w:t>
      </w:r>
    </w:p>
    <w:p>
      <w:pPr>
        <w:pStyle w:val="ListBullet"/>
        <w:keepLines w:val="1"/>
        <w:keepNext w:val="1"/>
        <w:widowControl w:val="1"/>
      </w:pPr>
      <w:r>
        <w:t xml:space="preserve">Después del envío: compare resultados con el año anterior y con otras métricas internas.  </w:t>
      </w:r>
    </w:p>
    <w:p>
      <w:pPr>
        <w:pStyle w:val="ListBullet"/>
        <w:keepLines w:val="1"/>
        <w:widowControl w:val="1"/>
      </w:pPr>
      <w:r>
        <w:t>Durante el año: use el cuestionario como referencia para proyectos ENS, auditorías y planes directores.</w:t>
      </w:r>
    </w:p>
    <w:p>
      <w:pPr>
        <w:pStyle w:val="Heading2"/>
        <w:keepNext/>
        <w:keepLines/>
      </w:pPr>
      <w:r>
        <w:rPr>
          <w:color w:val="0066CC"/>
        </w:rPr>
        <w:t>4. Personalización y evolución</w:t>
      </w:r>
    </w:p>
    <w:p>
      <w:r>
        <w:t>Este kit está pensado como punto de partida:</w:t>
      </w:r>
    </w:p>
    <w:p>
      <w:pPr>
        <w:pStyle w:val="ListBullet"/>
        <w:keepLines w:val="1"/>
        <w:keepNext w:val="1"/>
        <w:widowControl w:val="1"/>
      </w:pPr>
      <w:r>
        <w:t xml:space="preserve">Puede añadir preguntas sectoriales (sanidad, financiero, energía, etc.).  </w:t>
      </w:r>
    </w:p>
    <w:p>
      <w:pPr>
        <w:pStyle w:val="ListBullet"/>
        <w:keepLines w:val="1"/>
        <w:keepNext w:val="1"/>
        <w:widowControl w:val="1"/>
      </w:pPr>
      <w:r>
        <w:t xml:space="preserve">Puede ajustar pesos de madurez y modelos de ROI en la plantilla de Excel.  </w:t>
      </w:r>
    </w:p>
    <w:p>
      <w:pPr>
        <w:pStyle w:val="ListBullet"/>
        <w:keepLines w:val="1"/>
        <w:widowControl w:val="1"/>
      </w:pPr>
      <w:r>
        <w:t>Puede integrar el mapeo con otras normas (ISO 27001, NIST CSF, NIS2).</w:t>
      </w:r>
    </w:p>
    <w:p>
      <w:r>
        <w:t>Se recomienda documentar las modificaciones para preservar la trazabilidad con ENS–INES.</w:t>
      </w:r>
    </w:p>
    <w:p>
      <w:pPr>
        <w:pStyle w:val="Heading2"/>
        <w:keepNext/>
        <w:keepLines/>
      </w:pPr>
      <w:r>
        <w:rPr>
          <w:color w:val="0066CC"/>
        </w:rPr>
        <w:t>5. Créditos normativos (los verdaderos protagonistas)</w:t>
      </w:r>
    </w:p>
    <w:p>
      <w:r>
        <w:t>El kit se inspira y apoya especialmente en:</w:t>
      </w:r>
    </w:p>
    <w:p>
      <w:pPr>
        <w:pStyle w:val="ListBullet"/>
        <w:keepLines w:val="1"/>
        <w:keepNext w:val="1"/>
        <w:widowControl w:val="1"/>
      </w:pPr>
      <w:r>
        <w:t xml:space="preserve">Real Decreto 311/2022, por el que se regula el ENS.[web:37][web:40]  </w:t>
      </w:r>
    </w:p>
    <w:p>
      <w:pPr>
        <w:pStyle w:val="ListBullet"/>
        <w:keepLines w:val="1"/>
        <w:keepNext w:val="1"/>
        <w:widowControl w:val="1"/>
      </w:pPr>
      <w:r>
        <w:t xml:space="preserve">Proyecto INES e información pública asociada.[web:8][web:39]  </w:t>
      </w:r>
    </w:p>
    <w:p>
      <w:pPr>
        <w:pStyle w:val="ListBullet"/>
        <w:keepLines w:val="1"/>
        <w:keepNext w:val="1"/>
        <w:widowControl w:val="1"/>
      </w:pPr>
      <w:r>
        <w:t xml:space="preserve">Guías CCN‑STIC 815 (métricas e indicadores), 817 (ciberincidentes), 824 (Informe del Estado de Seguridad) y relacionadas.[web:20][web:30][web:33][web:36][web:38]  </w:t>
      </w:r>
    </w:p>
    <w:p>
      <w:pPr>
        <w:pStyle w:val="ListBullet"/>
        <w:keepLines w:val="1"/>
        <w:widowControl w:val="1"/>
      </w:pPr>
      <w:r>
        <w:t xml:space="preserve">Evolución del ENS hacia la gestión de proveedores y el entorno NIS2.[web:21][web:24][web:27][web:35]  </w:t>
      </w:r>
    </w:p>
    <w:p>
      <w:pPr>
        <w:pStyle w:val="Heading2"/>
        <w:keepNext/>
        <w:keepLines/>
      </w:pPr>
      <w:r>
        <w:rPr>
          <w:color w:val="0066CC"/>
        </w:rPr>
        <w:t>6. Licencia interna de uso (en tono no jurídico)</w:t>
      </w:r>
    </w:p>
    <w:p>
      <w:r>
        <w:t>Puede adaptar, mutilar o embellecer estos contenidos según las necesidades de su organización, siempre que mantenga el espíritu: usar ENS e INES para algo más que rellenar casillas. Sería elegante, eso sí, conservar alguna referencia al origen y a sus fuentes normativas.</w:t>
      </w:r>
    </w:p>
    <w:p>
      <w:r>
        <w:t>Si en algún momento del proceso alguien pregunta “¿para qué sirve todo esto?”, la respuesta corta es: para saber dónde estamos, decidir hacia dónde vamos y dejar por escrito que no fue por falta de señales.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