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GQM + PRAGMATIC para indicadores INES–ENS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>Es un conjunto de documentos que ayuda a convertir los indicadores ENS–INES en un sistema de medición coherente, trazable y razonablemente inteligente usando GQM (Goal–Question–Metric) y PRAGMATIC.[web:20][web:33][web:37]</w:t>
      </w:r>
    </w:p>
    <w:p>
      <w:pPr>
        <w:pStyle w:val="Heading2"/>
        <w:keepNext/>
        <w:keepLines/>
      </w:pPr>
      <w:r>
        <w:rPr>
          <w:color w:val="0066CC"/>
        </w:rPr>
        <w:t>2. Contenido</w:t>
      </w:r>
    </w:p>
    <w:p>
      <w:pPr>
        <w:pStyle w:val="ListBullet"/>
        <w:keepLines w:val="1"/>
        <w:keepNext w:val="1"/>
        <w:widowControl w:val="1"/>
      </w:pPr>
      <w:r>
        <w:br/>
        <w:t>marco_gqm_pragmatic_ines_ens.md</w:t>
        <w:br/>
        <w:t xml:space="preserve">  Marco conceptual y práctico GQM + PRAGMATIC para los dominios ENS–INES.  </w:t>
        <w:br/>
      </w:r>
    </w:p>
    <w:p>
      <w:pPr>
        <w:pStyle w:val="ListBullet"/>
        <w:keepLines w:val="1"/>
        <w:keepNext w:val="1"/>
        <w:widowControl w:val="1"/>
      </w:pPr>
      <w:r>
        <w:br/>
        <w:t>matriz_pragmatic_ines_ens.md</w:t>
        <w:br/>
        <w:t xml:space="preserve">  Tabla con la evaluación PRAGMATIC de las principales métricas.  </w:t>
        <w:br/>
      </w:r>
    </w:p>
    <w:p>
      <w:pPr>
        <w:pStyle w:val="ListBullet"/>
        <w:keepLines w:val="1"/>
        <w:keepNext w:val="1"/>
        <w:widowControl w:val="1"/>
      </w:pPr>
      <w:r>
        <w:br/>
        <w:t>narrativa_gqm_pragmatic_ines_ens.md</w:t>
        <w:br/>
        <w:t xml:space="preserve">  Texto explicativo para comunicar el enfoque dentro de la organización.  </w:t>
        <w:br/>
      </w:r>
    </w:p>
    <w:p>
      <w:pPr>
        <w:pStyle w:val="ListBullet"/>
        <w:keepLines w:val="1"/>
        <w:keepNext w:val="1"/>
        <w:widowControl w:val="1"/>
      </w:pPr>
      <w:r>
        <w:br/>
        <w:t>mapeo_gqm_normativo_ines_ens.md</w:t>
        <w:br/>
        <w:t xml:space="preserve">  Trazabilidad GQM entre objetivos/indicadores y ENS, RD 311/2022, CCN‑STIC, INES.  </w:t>
        <w:br/>
      </w:r>
    </w:p>
    <w:p>
      <w:pPr>
        <w:pStyle w:val="ListBullet"/>
        <w:keepLines w:val="1"/>
        <w:keepNext w:val="1"/>
        <w:widowControl w:val="1"/>
      </w:pPr>
      <w:r>
        <w:br/>
        <w:t>plantilla_excel_gqm_pragmatic_ines_ens.md</w:t>
        <w:br/>
        <w:t xml:space="preserve">  Descripción de un libro Excel para calcular IGM, ROI y puntuaciones PRAGMATIC.  </w:t>
        <w:br/>
      </w:r>
    </w:p>
    <w:p>
      <w:pPr>
        <w:pStyle w:val="ListBullet"/>
        <w:keepLines w:val="1"/>
        <w:widowControl w:val="1"/>
      </w:pPr>
      <w:r>
        <w:br/>
        <w:t>plantilla_reporte_ejecutivo_gqm_pragmatic_ines_ens.md</w:t>
        <w:br/>
        <w:t xml:space="preserve">  Guion para informes ejecutivos basados en estos indicadores.</w:t>
        <w:br/>
      </w:r>
    </w:p>
    <w:p>
      <w:r>
        <w:rPr>
          <w:rFonts w:ascii="Courier New" w:hAnsi="Courier New"/>
          <w:sz w:val="18"/>
        </w:rPr>
        <w:t>marco_gqm_pragmatic_ines_ens.md</w:t>
      </w:r>
      <w:r/>
      <w:r>
        <w:br/>
        <w:t xml:space="preserve">  Marco conceptual y práctico GQM + PRAGMATIC para los dominios ENS–INES.  </w:t>
      </w:r>
    </w:p>
    <w:p>
      <w:r>
        <w:rPr>
          <w:rFonts w:ascii="Courier New" w:hAnsi="Courier New"/>
          <w:sz w:val="18"/>
        </w:rPr>
        <w:t>matriz_pragmatic_ines_ens.md</w:t>
      </w:r>
      <w:r/>
      <w:r>
        <w:br/>
        <w:t xml:space="preserve">  Tabla con la evaluación PRAGMATIC de las principales métricas.  </w:t>
      </w:r>
    </w:p>
    <w:p>
      <w:r>
        <w:rPr>
          <w:rFonts w:ascii="Courier New" w:hAnsi="Courier New"/>
          <w:sz w:val="18"/>
        </w:rPr>
        <w:t>narrativa_gqm_pragmatic_ines_ens.md</w:t>
      </w:r>
      <w:r/>
      <w:r>
        <w:br/>
        <w:t xml:space="preserve">  Texto explicativo para comunicar el enfoque dentro de la organización.  </w:t>
      </w:r>
    </w:p>
    <w:p>
      <w:r>
        <w:rPr>
          <w:rFonts w:ascii="Courier New" w:hAnsi="Courier New"/>
          <w:sz w:val="18"/>
        </w:rPr>
        <w:t>mapeo_gqm_normativo_ines_ens.md</w:t>
      </w:r>
      <w:r/>
      <w:r>
        <w:br/>
        <w:t xml:space="preserve">  Trazabilidad GQM entre objetivos/indicadores y ENS, RD 311/2022, CCN‑STIC, INES.  </w:t>
      </w:r>
    </w:p>
    <w:p>
      <w:r>
        <w:rPr>
          <w:rFonts w:ascii="Courier New" w:hAnsi="Courier New"/>
          <w:sz w:val="18"/>
        </w:rPr>
        <w:t>plantilla_excel_gqm_pragmatic_ines_ens.md</w:t>
      </w:r>
      <w:r/>
      <w:r>
        <w:br/>
        <w:t xml:space="preserve">  Descripción de un libro Excel para calcular IGM, ROI y puntuaciones PRAGMATIC.  </w:t>
      </w:r>
    </w:p>
    <w:p>
      <w:r>
        <w:rPr>
          <w:rFonts w:ascii="Courier New" w:hAnsi="Courier New"/>
          <w:sz w:val="18"/>
        </w:rPr>
        <w:t>plantilla_reporte_ejecutivo_gqm_pragmatic_ines_ens.md</w:t>
      </w:r>
      <w:r/>
      <w:r>
        <w:br/>
        <w:t xml:space="preserve">  Guion para informes ejecutivos basados en estos indicadores.</w:t>
      </w:r>
    </w:p>
    <w:p>
      <w:pPr>
        <w:pStyle w:val="Heading2"/>
        <w:keepNext/>
        <w:keepLines/>
      </w:pPr>
      <w:r>
        <w:rPr>
          <w:color w:val="0066CC"/>
        </w:rPr>
        <w:t>3. Cómo usarlo en tres pasos</w:t>
      </w:r>
    </w:p>
    <w:p>
      <w:pPr>
        <w:pStyle w:val="ListNumber"/>
        <w:keepLines w:val="1"/>
        <w:keepNext w:val="1"/>
        <w:widowControl w:val="1"/>
      </w:pPr>
      <w:r>
        <w:t xml:space="preserve">Definir: revise el marco_gqm_pragmatic_ines_ens.md y el mapeo_gqm_normativo_ines_ens.md para seleccionar los Goals y métricas que más encajan con su contexto ENS–INES.[web:8][web:20][web:33]  </w:t>
      </w:r>
    </w:p>
    <w:p>
      <w:pPr>
        <w:pStyle w:val="ListNumber"/>
        <w:keepLines w:val="1"/>
        <w:keepNext w:val="1"/>
        <w:widowControl w:val="1"/>
      </w:pPr>
      <w:r>
        <w:t xml:space="preserve">Implementar: traduzca las métricas a la plantilla Excel, conectándolas con fuentes de datos (INES, SIEM, GRC, encuestas).  </w:t>
      </w:r>
    </w:p>
    <w:p>
      <w:pPr>
        <w:pStyle w:val="ListNumber"/>
        <w:keepLines w:val="1"/>
        <w:widowControl w:val="1"/>
      </w:pPr>
      <w:r>
        <w:t>Comunicar: utilice la narrativa y la plantilla de reporte ejecutivo para explicar, sin jeroglíficos, qué significan los números y qué decisiones sugieren.</w:t>
      </w:r>
    </w:p>
    <w:p>
      <w:pPr>
        <w:pStyle w:val="Heading2"/>
        <w:keepNext/>
        <w:keepLines/>
      </w:pPr>
      <w:r>
        <w:rPr>
          <w:color w:val="0066CC"/>
        </w:rPr>
        <w:t>4. Integración con ENS, INES y guías CCN‑STIC</w:t>
      </w:r>
    </w:p>
    <w:p>
      <w:r>
        <w:t>El kit se ha construido tomando como referencia:</w:t>
      </w:r>
    </w:p>
    <w:p>
      <w:pPr>
        <w:pStyle w:val="ListBullet"/>
        <w:keepLines w:val="1"/>
        <w:keepNext w:val="1"/>
        <w:widowControl w:val="1"/>
      </w:pPr>
      <w:r>
        <w:t xml:space="preserve">ENS regulado por el RD 311/2022 (BOE‑A‑2022‑7191).[web:37][web:40]  </w:t>
      </w:r>
    </w:p>
    <w:p>
      <w:pPr>
        <w:pStyle w:val="ListBullet"/>
        <w:keepLines w:val="1"/>
        <w:widowControl w:val="1"/>
      </w:pPr>
      <w:r>
        <w:t xml:space="preserve">Proyecto INES y guías CCN‑STIC 815 (métricas), 817 (ciberincidentes) y 824 (Informe del Estado de Seguridad), entre otras.[web:20][web:30][web:33][web:38]  </w:t>
      </w:r>
    </w:p>
    <w:p>
      <w:r>
        <w:t>No sustituye estas normas, pero ayuda a pasar de su texto a un sistema vivo de métricas.</w:t>
      </w:r>
    </w:p>
    <w:p>
      <w:pPr>
        <w:pStyle w:val="Heading2"/>
        <w:keepNext/>
        <w:keepLines/>
      </w:pPr>
      <w:r>
        <w:rPr>
          <w:color w:val="0066CC"/>
        </w:rPr>
        <w:t>5. Personalización</w:t>
      </w:r>
    </w:p>
    <w:p>
      <w:r>
        <w:t>Puede (y debe) adaptar:</w:t>
      </w:r>
    </w:p>
    <w:p>
      <w:pPr>
        <w:pStyle w:val="ListBullet"/>
        <w:keepLines w:val="1"/>
        <w:keepNext w:val="1"/>
        <w:widowControl w:val="1"/>
      </w:pPr>
      <w:r>
        <w:t xml:space="preserve">Los pesos en el cálculo del IGM.  </w:t>
      </w:r>
    </w:p>
    <w:p>
      <w:pPr>
        <w:pStyle w:val="ListBullet"/>
        <w:keepLines w:val="1"/>
        <w:keepNext w:val="1"/>
        <w:widowControl w:val="1"/>
      </w:pPr>
      <w:r>
        <w:t xml:space="preserve">Los parámetros del ROI.  </w:t>
      </w:r>
    </w:p>
    <w:p>
      <w:pPr>
        <w:pStyle w:val="ListBullet"/>
        <w:keepLines w:val="1"/>
        <w:widowControl w:val="1"/>
      </w:pPr>
      <w:r>
        <w:t>Las métricas incluidas y sus puntuaciones PRAGMATIC.</w:t>
      </w:r>
    </w:p>
    <w:p>
      <w:r>
        <w:t xml:space="preserve">Se recomienda documentar cualquier cambio en el </w:t>
      </w:r>
      <w:r>
        <w:rPr>
          <w:rFonts w:ascii="Courier New" w:hAnsi="Courier New"/>
          <w:sz w:val="18"/>
        </w:rPr>
        <w:t>Diccionario_Metricas</w:t>
      </w:r>
      <w:r>
        <w:t xml:space="preserve"> (hoja Excel) y mantener el mapeo normativo actualizado.</w:t>
      </w:r>
    </w:p>
    <w:p>
      <w:pPr>
        <w:pStyle w:val="Heading2"/>
        <w:keepNext/>
        <w:keepLines/>
      </w:pPr>
      <w:r>
        <w:rPr>
          <w:color w:val="0066CC"/>
        </w:rPr>
        <w:t>6. Última nota propositiva</w:t>
      </w:r>
    </w:p>
    <w:p>
      <w:r>
        <w:t>Si, después de aplicar el kit, su organización tiene menos métricas pero mejores, y las conversaciones con la dirección pasan de “cuántos informes hemos enviado” a “qué riesgo estamos realmente gestionando”, el esfuerzo habrá merecido la pena.</w:t>
      </w:r>
    </w:p>
    <w:p>
      <w:r>
        <w:t>Y si, además, alguien empieza a citar la CCN‑STIC 815 sin bostezar, ya sería un éxito histórico.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