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Pr>
        <w:spacing w:after="120"/>
        <w:jc w:val="center"/>
      </w:pPr>
      <w:r>
        <w:rPr>
          <w:rFonts w:ascii="Arial" w:cs="Arial" w:eastAsia="Arial" w:hAnsi="Arial"/>
          <w:b/>
          <w:bCs/>
          <w:color w:val="4B5C66"/>
          <w:sz w:val="52"/>
          <w:szCs w:val="52"/>
        </w:rPr>
        <w:t xml:space="preserve">Marco Digiliencia</w:t>
      </w:r>
    </w:p>
    <w:p>
      <w:pPr>
        <w:spacing w:after="200"/>
        <w:jc w:val="center"/>
      </w:pPr>
      <w:r>
        <w:rPr>
          <w:rFonts w:ascii="Arial" w:cs="Arial" w:eastAsia="Arial" w:hAnsi="Arial"/>
          <w:b/>
          <w:bCs/>
          <w:color w:val="C0392B"/>
          <w:sz w:val="72"/>
          <w:szCs w:val="72"/>
        </w:rPr>
        <w:t xml:space="preserve">CyberSegurIA</w:t>
      </w:r>
    </w:p>
    <w:p>
      <w:pPr>
        <w:pBdr>
          <w:bottom w:val="single" w:color="C0392B" w:sz="6" w:space="4"/>
        </w:pBdr>
        <w:spacing w:after="300"/>
        <w:jc w:val="center"/>
      </w:pPr>
      <w:r>
        <w:rPr>
          <w:rFonts w:ascii="Arial" w:cs="Arial" w:eastAsia="Arial" w:hAnsi="Arial"/>
          <w:b/>
          <w:bCs/>
          <w:color w:val="4B5C66"/>
          <w:sz w:val="36"/>
          <w:szCs w:val="36"/>
        </w:rPr>
        <w:t xml:space="preserve">Memoria General del Proyecto</w:t>
      </w:r>
    </w:p>
    <w:p/>
    <w:p>
      <w:pPr>
        <w:spacing w:after="80"/>
        <w:jc w:val="center"/>
      </w:pPr>
      <w:r>
        <w:rPr>
          <w:rFonts w:ascii="Arial" w:cs="Arial" w:eastAsia="Arial" w:hAnsi="Arial"/>
          <w:color w:val="666666"/>
          <w:sz w:val="26"/>
          <w:szCs w:val="26"/>
        </w:rPr>
        <w:t xml:space="preserve">Integración de asistente de IA en ciberseguridad</w:t>
      </w:r>
    </w:p>
    <w:p>
      <w:pPr>
        <w:spacing w:after="400"/>
        <w:jc w:val="center"/>
      </w:pPr>
      <w:r>
        <w:rPr>
          <w:rFonts w:ascii="Arial" w:cs="Arial" w:eastAsia="Arial" w:hAnsi="Arial"/>
          <w:color w:val="666666"/>
          <w:sz w:val="26"/>
          <w:szCs w:val="26"/>
        </w:rPr>
        <w:t xml:space="preserve">sobre plataforma WordPress con API SCAYLE</w:t>
      </w:r>
    </w:p>
    <w:p/>
    <w:p/>
    <w:p>
      <w:pPr>
        <w:spacing w:after="80"/>
        <w:jc w:val="center"/>
      </w:pPr>
      <w:r>
        <w:rPr>
          <w:rFonts w:ascii="Arial" w:cs="Arial" w:eastAsia="Arial" w:hAnsi="Arial"/>
          <w:color w:val="888888"/>
          <w:sz w:val="22"/>
          <w:szCs w:val="22"/>
        </w:rPr>
        <w:t xml:space="preserve">INCIBE · Universidad de León · Digiliencia.org</w:t>
      </w:r>
    </w:p>
    <w:p>
      <w:pPr>
        <w:spacing w:after="80"/>
        <w:jc w:val="center"/>
      </w:pPr>
      <w:r>
        <w:rPr>
          <w:rFonts w:ascii="Arial" w:cs="Arial" w:eastAsia="Arial" w:hAnsi="Arial"/>
          <w:color w:val="888888"/>
          <w:sz w:val="22"/>
          <w:szCs w:val="22"/>
        </w:rPr>
        <w:t xml:space="preserve">Marzo 2026  ·  Versión 1.0</w:t>
      </w:r>
    </w:p>
    <w:p>
      <w:pPr>
        <w:jc w:val="center"/>
      </w:pPr>
      <w:r>
        <w:rPr>
          <w:rFonts w:ascii="Arial" w:cs="Arial" w:eastAsia="Arial" w:hAnsi="Arial"/>
          <w:color w:val="888888"/>
          <w:sz w:val="22"/>
          <w:szCs w:val="22"/>
        </w:rPr>
        <w:t xml:space="preserve">Elaborado por: Manuel Blanco Cuadrado</w:t>
      </w:r>
    </w:p>
    <w:p>
      <w:r>
        <w:br w:type="page"/>
      </w:r>
    </w:p>
    <w:p>
      <w:pPr>
        <w:pStyle w:val="Heading1"/>
        <w:pBdr>
          <w:bottom w:val="single" w:color="C0392B" w:sz="8" w:space="4"/>
        </w:pBdr>
        <w:spacing w:after="160" w:before="360"/>
      </w:pPr>
      <w:r>
        <w:rPr>
          <w:rFonts w:ascii="Arial" w:cs="Arial" w:eastAsia="Arial" w:hAnsi="Arial"/>
          <w:b/>
          <w:bCs/>
          <w:color w:val="C0392B"/>
          <w:sz w:val="36"/>
          <w:szCs w:val="36"/>
        </w:rPr>
        <w:t xml:space="preserve">Índice</w:t>
      </w:r>
    </w:p>
    <w:p>
      <w:pPr>
        <w:spacing w:after="120"/>
      </w:pPr>
      <w:r>
        <w:rPr>
          <w:rFonts w:ascii="Arial" w:cs="Arial" w:eastAsia="Arial" w:hAnsi="Arial"/>
          <w:sz w:val="22"/>
          <w:szCs w:val="22"/>
        </w:rPr>
        <w:t xml:space="preserve">1.  Resumen ejecutivo</w:t>
      </w:r>
    </w:p>
    <w:p>
      <w:pPr>
        <w:spacing w:after="120"/>
      </w:pPr>
      <w:r>
        <w:rPr>
          <w:rFonts w:ascii="Arial" w:cs="Arial" w:eastAsia="Arial" w:hAnsi="Arial"/>
          <w:sz w:val="22"/>
          <w:szCs w:val="22"/>
        </w:rPr>
        <w:t xml:space="preserve">2.  Contexto y objetivos del proyecto</w:t>
      </w:r>
    </w:p>
    <w:p>
      <w:pPr>
        <w:spacing w:after="120"/>
      </w:pPr>
      <w:r>
        <w:rPr>
          <w:rFonts w:ascii="Arial" w:cs="Arial" w:eastAsia="Arial" w:hAnsi="Arial"/>
          <w:sz w:val="22"/>
          <w:szCs w:val="22"/>
        </w:rPr>
        <w:t xml:space="preserve">3.  Arquitectura del sistema</w:t>
      </w:r>
    </w:p>
    <w:p>
      <w:pPr>
        <w:spacing w:after="120"/>
      </w:pPr>
      <w:r>
        <w:rPr>
          <w:rFonts w:ascii="Arial" w:cs="Arial" w:eastAsia="Arial" w:hAnsi="Arial"/>
          <w:sz w:val="22"/>
          <w:szCs w:val="22"/>
        </w:rPr>
        <w:t xml:space="preserve">4.  Interfaz web: Digiliencia.org</w:t>
      </w:r>
    </w:p>
    <w:p>
      <w:pPr>
        <w:spacing w:after="120"/>
      </w:pPr>
      <w:r>
        <w:rPr>
          <w:rFonts w:ascii="Arial" w:cs="Arial" w:eastAsia="Arial" w:hAnsi="Arial"/>
          <w:sz w:val="22"/>
          <w:szCs w:val="22"/>
        </w:rPr>
        <w:t xml:space="preserve">5.  API SCAYLE: sistema de IA</w:t>
      </w:r>
    </w:p>
    <w:p>
      <w:pPr>
        <w:spacing w:after="120"/>
      </w:pPr>
      <w:r>
        <w:rPr>
          <w:rFonts w:ascii="Arial" w:cs="Arial" w:eastAsia="Arial" w:hAnsi="Arial"/>
          <w:sz w:val="22"/>
          <w:szCs w:val="22"/>
        </w:rPr>
        <w:t xml:space="preserve">6.  Plugin adaptador WordPress–SCAYLE</w:t>
      </w:r>
    </w:p>
    <w:p>
      <w:pPr>
        <w:spacing w:after="120"/>
      </w:pPr>
      <w:r>
        <w:rPr>
          <w:rFonts w:ascii="Arial" w:cs="Arial" w:eastAsia="Arial" w:hAnsi="Arial"/>
          <w:sz w:val="22"/>
          <w:szCs w:val="22"/>
        </w:rPr>
        <w:t xml:space="preserve">7.  Plugin de descarga de conversaciones</w:t>
      </w:r>
    </w:p>
    <w:p>
      <w:pPr>
        <w:spacing w:after="120"/>
      </w:pPr>
      <w:r>
        <w:rPr>
          <w:rFonts w:ascii="Arial" w:cs="Arial" w:eastAsia="Arial" w:hAnsi="Arial"/>
          <w:sz w:val="22"/>
          <w:szCs w:val="22"/>
        </w:rPr>
        <w:t xml:space="preserve">8.  Modelos de lenguaje disponibles y tiempos de respuesta</w:t>
      </w:r>
    </w:p>
    <w:p>
      <w:pPr>
        <w:spacing w:after="120"/>
      </w:pPr>
      <w:r>
        <w:rPr>
          <w:rFonts w:ascii="Arial" w:cs="Arial" w:eastAsia="Arial" w:hAnsi="Arial"/>
          <w:sz w:val="22"/>
          <w:szCs w:val="22"/>
        </w:rPr>
        <w:t xml:space="preserve">9.  Decisiones técnicas adoptadas</w:t>
      </w:r>
    </w:p>
    <w:p>
      <w:pPr>
        <w:spacing w:after="120"/>
      </w:pPr>
      <w:r>
        <w:rPr>
          <w:rFonts w:ascii="Arial" w:cs="Arial" w:eastAsia="Arial" w:hAnsi="Arial"/>
          <w:sz w:val="22"/>
          <w:szCs w:val="22"/>
        </w:rPr>
        <w:t xml:space="preserve">10. Estado actual y trabajo pendiente</w:t>
      </w:r>
    </w:p>
    <w:p>
      <w:pPr>
        <w:spacing w:after="120"/>
      </w:pPr>
      <w:r>
        <w:rPr>
          <w:rFonts w:ascii="Arial" w:cs="Arial" w:eastAsia="Arial" w:hAnsi="Arial"/>
          <w:sz w:val="22"/>
          <w:szCs w:val="22"/>
        </w:rPr>
        <w:t xml:space="preserve">11. Entregables</w:t>
      </w:r>
    </w:p>
    <w:p>
      <w:r>
        <w:br w:type="page"/>
      </w:r>
    </w:p>
    <w:p>
      <w:pPr>
        <w:pStyle w:val="Heading1"/>
        <w:pBdr>
          <w:bottom w:val="single" w:color="C0392B" w:sz="8" w:space="4"/>
        </w:pBdr>
        <w:spacing w:after="160" w:before="360"/>
      </w:pPr>
      <w:r>
        <w:rPr>
          <w:rFonts w:ascii="Arial" w:cs="Arial" w:eastAsia="Arial" w:hAnsi="Arial"/>
          <w:b/>
          <w:bCs/>
          <w:color w:val="C0392B"/>
          <w:sz w:val="36"/>
          <w:szCs w:val="36"/>
        </w:rPr>
        <w:t xml:space="preserve">1. Resumen ejecutivo</w:t>
      </w:r>
    </w:p>
    <w:p>
      <w:pPr>
        <w:spacing w:after="120"/>
      </w:pPr>
      <w:r>
        <w:rPr>
          <w:rFonts w:ascii="Arial" w:cs="Arial" w:eastAsia="Arial" w:hAnsi="Arial"/>
          <w:sz w:val="22"/>
          <w:szCs w:val="22"/>
        </w:rPr>
        <w:t xml:space="preserve">El proyecto Marco Digiliencia ha desarrollado CyberSegurIA, un asistente inteligente de ciberseguridad accesible públicamente en digiliencia.org, impulsado por INCIBE. El sistema integra una interfaz web basada en WordPress con un sistema de inteligencia artificial local desplegado en los servidores de la Universidad de León (API SCAYLE).</w:t>
      </w:r>
    </w:p>
    <w:p/>
    <w:p>
      <w:pPr>
        <w:spacing w:after="120"/>
      </w:pPr>
      <w:r>
        <w:rPr>
          <w:rFonts w:ascii="Arial" w:cs="Arial" w:eastAsia="Arial" w:hAnsi="Arial"/>
          <w:sz w:val="22"/>
          <w:szCs w:val="22"/>
        </w:rPr>
        <w:t xml:space="preserve">La solución permite que cualquier ciudadano, sin necesidad de registro ni instalación, realice consultas sobre ciberseguridad y reciba respuestas generadas por modelos de lenguaje de gran tamaño (LLM) ejecutados íntegramente en infraestructura propia, sin dependencia de servicios de IA externos de pago.</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4F5F7" w:val="clear"/>
            <w:tcMar>
              <w:top w:type="dxa" w:w="120"/>
              <w:left w:type="dxa" w:w="160"/>
              <w:bottom w:type="dxa" w:w="120"/>
              <w:right w:type="dxa" w:w="160"/>
            </w:tcMar>
          </w:tcPr>
          <w:p>
            <w:pPr>
              <w:spacing w:after="60"/>
            </w:pPr>
            <w:r>
              <w:rPr>
                <w:rFonts w:ascii="Arial" w:cs="Arial" w:eastAsia="Arial" w:hAnsi="Arial"/>
                <w:b/>
                <w:bCs/>
                <w:color w:val="C0392B"/>
              </w:rPr>
              <w:t xml:space="preserve">▶ Resultado principal</w:t>
            </w:r>
          </w:p>
          <w:p>
            <w:pPr>
              <w:spacing w:after="120"/>
            </w:pPr>
            <w:r>
              <w:rPr>
                <w:rFonts w:ascii="Arial" w:cs="Arial" w:eastAsia="Arial" w:hAnsi="Arial"/>
                <w:sz w:val="22"/>
                <w:szCs w:val="22"/>
              </w:rPr>
              <w:t xml:space="preserve">Sistema en producción y accesible en digiliencia.org, con integración completa entre la interfaz WordPress y la API de IA de la Universidad de León, conversaciones aisladas por usuario sin registro, historial local y funcionalidad de descarga de conversaciones en PDF.</w:t>
            </w:r>
          </w:p>
        </w:tc>
      </w:tr>
    </w:tbl>
    <w:p/>
    <w:p>
      <w:r>
        <w:br w:type="page"/>
      </w:r>
    </w:p>
    <w:p>
      <w:pPr>
        <w:pStyle w:val="Heading1"/>
        <w:pBdr>
          <w:bottom w:val="single" w:color="C0392B" w:sz="8" w:space="4"/>
        </w:pBdr>
        <w:spacing w:after="160" w:before="360"/>
      </w:pPr>
      <w:r>
        <w:rPr>
          <w:rFonts w:ascii="Arial" w:cs="Arial" w:eastAsia="Arial" w:hAnsi="Arial"/>
          <w:b/>
          <w:bCs/>
          <w:color w:val="C0392B"/>
          <w:sz w:val="36"/>
          <w:szCs w:val="36"/>
        </w:rPr>
        <w:t xml:space="preserve">2. Contexto y objetivos del proyecto</w:t>
      </w:r>
    </w:p>
    <w:p>
      <w:pPr>
        <w:pStyle w:val="Heading2"/>
        <w:spacing w:after="120" w:before="280"/>
      </w:pPr>
      <w:r>
        <w:rPr>
          <w:rFonts w:ascii="Arial" w:cs="Arial" w:eastAsia="Arial" w:hAnsi="Arial"/>
          <w:b/>
          <w:bCs/>
          <w:color w:val="4B5C66"/>
          <w:sz w:val="28"/>
          <w:szCs w:val="28"/>
        </w:rPr>
        <w:t xml:space="preserve">Contexto</w:t>
      </w:r>
    </w:p>
    <w:p>
      <w:pPr>
        <w:spacing w:after="120"/>
      </w:pPr>
      <w:r>
        <w:rPr>
          <w:rFonts w:ascii="Arial" w:cs="Arial" w:eastAsia="Arial" w:hAnsi="Arial"/>
          <w:sz w:val="22"/>
          <w:szCs w:val="22"/>
        </w:rPr>
        <w:t xml:space="preserve">El proyecto surge en el marco de la colaboración entre INCIBE y la Universidad de León, con el objetivo de poner a disposición del público una herramienta de orientación en ciberseguridad basada en inteligencia artificial. La Universidad de León aportó la infraestructura de IA (servidor con GPU NVIDIA A100, sistema Ollama y base de datos de grafos Neo4j), mientras que la parte de interfaz web y su integración fue desarrollada sobre WordPress.</w:t>
      </w:r>
    </w:p>
    <w:p/>
    <w:p>
      <w:pPr>
        <w:pStyle w:val="Heading2"/>
        <w:spacing w:after="120" w:before="280"/>
      </w:pPr>
      <w:r>
        <w:rPr>
          <w:rFonts w:ascii="Arial" w:cs="Arial" w:eastAsia="Arial" w:hAnsi="Arial"/>
          <w:b/>
          <w:bCs/>
          <w:color w:val="4B5C66"/>
          <w:sz w:val="28"/>
          <w:szCs w:val="28"/>
        </w:rPr>
        <w:t xml:space="preserve">Objetivos</w:t>
      </w:r>
    </w:p>
    <w:p>
      <w:pPr>
        <w:pStyle w:val="ListParagraph"/>
        <w:numPr>
          <w:ilvl w:val="0"/>
          <w:numId w:val="2"/>
        </w:numPr>
        <w:spacing w:after="80"/>
      </w:pPr>
      <w:r>
        <w:rPr>
          <w:rFonts w:ascii="Arial" w:cs="Arial" w:eastAsia="Arial" w:hAnsi="Arial"/>
          <w:sz w:val="22"/>
          <w:szCs w:val="22"/>
        </w:rPr>
        <w:t xml:space="preserve">Desplegar un chatbot de ciberseguridad accesible públicamente sin necesidad de registro de usuarios.</w:t>
      </w:r>
    </w:p>
    <w:p>
      <w:pPr>
        <w:pStyle w:val="ListParagraph"/>
        <w:numPr>
          <w:ilvl w:val="0"/>
          <w:numId w:val="2"/>
        </w:numPr>
        <w:spacing w:after="80"/>
      </w:pPr>
      <w:r>
        <w:rPr>
          <w:rFonts w:ascii="Arial" w:cs="Arial" w:eastAsia="Arial" w:hAnsi="Arial"/>
          <w:sz w:val="22"/>
          <w:szCs w:val="22"/>
        </w:rPr>
        <w:t xml:space="preserve">Integrar la interfaz web de Digiliencia.org con la API de IA desarrollada por la Universidad de León (SCAYLE).</w:t>
      </w:r>
    </w:p>
    <w:p>
      <w:pPr>
        <w:pStyle w:val="ListParagraph"/>
        <w:numPr>
          <w:ilvl w:val="0"/>
          <w:numId w:val="2"/>
        </w:numPr>
        <w:spacing w:after="80"/>
      </w:pPr>
      <w:r>
        <w:rPr>
          <w:rFonts w:ascii="Arial" w:cs="Arial" w:eastAsia="Arial" w:hAnsi="Arial"/>
          <w:sz w:val="22"/>
          <w:szCs w:val="22"/>
        </w:rPr>
        <w:t xml:space="preserve">Garantizar el aislamiento de conversaciones entre usuarios distintos sin exponer la API directamente al navegador.</w:t>
      </w:r>
    </w:p>
    <w:p>
      <w:pPr>
        <w:pStyle w:val="ListParagraph"/>
        <w:numPr>
          <w:ilvl w:val="0"/>
          <w:numId w:val="2"/>
        </w:numPr>
        <w:spacing w:after="80"/>
      </w:pPr>
      <w:r>
        <w:rPr>
          <w:rFonts w:ascii="Arial" w:cs="Arial" w:eastAsia="Arial" w:hAnsi="Arial"/>
          <w:sz w:val="22"/>
          <w:szCs w:val="22"/>
        </w:rPr>
        <w:t xml:space="preserve">Ofrecer historial de conversaciones, gestión de múltiples sesiones y descarga de conversaciones en PDF.</w:t>
      </w:r>
    </w:p>
    <w:p>
      <w:pPr>
        <w:pStyle w:val="ListParagraph"/>
        <w:numPr>
          <w:ilvl w:val="0"/>
          <w:numId w:val="2"/>
        </w:numPr>
        <w:spacing w:after="80"/>
      </w:pPr>
      <w:r>
        <w:rPr>
          <w:rFonts w:ascii="Arial" w:cs="Arial" w:eastAsia="Arial" w:hAnsi="Arial"/>
          <w:sz w:val="22"/>
          <w:szCs w:val="22"/>
        </w:rPr>
        <w:t xml:space="preserve">Asegurar el correcto funcionamiento en dispositivos móviles y de escritorio.</w:t>
      </w:r>
    </w:p>
    <w:p/>
    <w:p>
      <w:r>
        <w:br w:type="page"/>
      </w:r>
    </w:p>
    <w:p>
      <w:pPr>
        <w:pStyle w:val="Heading1"/>
        <w:pBdr>
          <w:bottom w:val="single" w:color="C0392B" w:sz="8" w:space="4"/>
        </w:pBdr>
        <w:spacing w:after="160" w:before="360"/>
      </w:pPr>
      <w:r>
        <w:rPr>
          <w:rFonts w:ascii="Arial" w:cs="Arial" w:eastAsia="Arial" w:hAnsi="Arial"/>
          <w:b/>
          <w:bCs/>
          <w:color w:val="C0392B"/>
          <w:sz w:val="36"/>
          <w:szCs w:val="36"/>
        </w:rPr>
        <w:t xml:space="preserve">3. Arquitectura del sistema</w:t>
      </w:r>
    </w:p>
    <w:p>
      <w:pPr>
        <w:spacing w:after="120"/>
      </w:pPr>
      <w:r>
        <w:rPr>
          <w:rFonts w:ascii="Arial" w:cs="Arial" w:eastAsia="Arial" w:hAnsi="Arial"/>
          <w:sz w:val="22"/>
          <w:szCs w:val="22"/>
        </w:rPr>
        <w:t xml:space="preserve">El sistema se compone de tres capas que se comunican de forma secuencial:</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CCCCC" w:sz="1"/>
              <w:left w:val="single" w:color="CCCCCC" w:sz="1"/>
              <w:bottom w:val="single" w:color="CCCCCC" w:sz="1"/>
              <w:right w:val="single" w:color="CCCCCC" w:sz="1"/>
            </w:tcBorders>
            <w:shd w:fill="4B5C66" w:val="clear"/>
            <w:tcMar>
              <w:top w:type="dxa" w:w="80"/>
              <w:left w:type="dxa" w:w="120"/>
              <w:bottom w:type="dxa" w:w="80"/>
              <w:right w:type="dxa" w:w="120"/>
            </w:tcMar>
          </w:tcPr>
          <w:p>
            <w:r>
              <w:rPr>
                <w:rFonts w:ascii="Arial" w:cs="Arial" w:eastAsia="Arial" w:hAnsi="Arial"/>
                <w:b/>
                <w:bCs/>
                <w:color w:val="FFFFFF"/>
                <w:sz w:val="20"/>
                <w:szCs w:val="20"/>
              </w:rPr>
              <w:t xml:space="preserve">Capa</w:t>
            </w:r>
          </w:p>
        </w:tc>
        <w:tc>
          <w:tcPr>
            <w:tcW w:type="dxa" w:w="5826"/>
            <w:tcBorders>
              <w:top w:val="single" w:color="CCCCCC" w:sz="1"/>
              <w:left w:val="single" w:color="CCCCCC" w:sz="1"/>
              <w:bottom w:val="single" w:color="CCCCCC" w:sz="1"/>
              <w:right w:val="single" w:color="CCCCCC" w:sz="1"/>
            </w:tcBorders>
            <w:shd w:fill="4B5C66"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Navegador del usuario</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Interfaz web en digiliencia.org. El usuario escribe mensajes que se envían a WordPress mediante el plugin AI Engine Pro.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WordPress (Digiliencia.org)</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Actúa como intermediario. El plugin adaptador intercepta cada mensaje, se autentica en la API SCAYLE con un usuario de servicio y reenvía la consulta.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API SCAYLE (Universidad de León)</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Recibe el mensaje, lo procesa con el modelo LLM seleccionado y devuelve la respuesta. Alojada en api.digiliencia.org (servidor 185.179.104.94).</w:t>
            </w:r>
          </w:p>
        </w:tc>
      </w:tr>
    </w:tbl>
    <w:p/>
    <w:p>
      <w:pPr>
        <w:pStyle w:val="Heading2"/>
        <w:spacing w:after="120" w:before="280"/>
      </w:pPr>
      <w:r>
        <w:rPr>
          <w:rFonts w:ascii="Arial" w:cs="Arial" w:eastAsia="Arial" w:hAnsi="Arial"/>
          <w:b/>
          <w:bCs/>
          <w:color w:val="4B5C66"/>
          <w:sz w:val="28"/>
          <w:szCs w:val="28"/>
        </w:rPr>
        <w:t xml:space="preserve">Flujo de una conversación</w:t>
      </w:r>
    </w:p>
    <w:p>
      <w:pPr>
        <w:pStyle w:val="ListParagraph"/>
        <w:numPr>
          <w:ilvl w:val="0"/>
          <w:numId w:val="3"/>
        </w:numPr>
        <w:spacing w:after="80"/>
      </w:pPr>
      <w:r>
        <w:rPr>
          <w:rFonts w:ascii="Arial" w:cs="Arial" w:eastAsia="Arial" w:hAnsi="Arial"/>
          <w:sz w:val="22"/>
          <w:szCs w:val="22"/>
        </w:rPr>
        <w:t xml:space="preserve">El visitante escribe un mensaje en digiliencia.org.</w:t>
      </w:r>
    </w:p>
    <w:p>
      <w:pPr>
        <w:pStyle w:val="ListParagraph"/>
        <w:numPr>
          <w:ilvl w:val="0"/>
          <w:numId w:val="3"/>
        </w:numPr>
        <w:spacing w:after="80"/>
      </w:pPr>
      <w:r>
        <w:rPr>
          <w:rFonts w:ascii="Arial" w:cs="Arial" w:eastAsia="Arial" w:hAnsi="Arial"/>
          <w:sz w:val="22"/>
          <w:szCs w:val="22"/>
        </w:rPr>
        <w:t xml:space="preserve">AI Engine Pro captura el mensaje mediante el hook mwai_chatbot_takeover.</w:t>
      </w:r>
    </w:p>
    <w:p>
      <w:pPr>
        <w:pStyle w:val="ListParagraph"/>
        <w:numPr>
          <w:ilvl w:val="0"/>
          <w:numId w:val="3"/>
        </w:numPr>
        <w:spacing w:after="80"/>
      </w:pPr>
      <w:r>
        <w:rPr>
          <w:rFonts w:ascii="Arial" w:cs="Arial" w:eastAsia="Arial" w:hAnsi="Arial"/>
          <w:sz w:val="22"/>
          <w:szCs w:val="22"/>
        </w:rPr>
        <w:t xml:space="preserve">El plugin adaptador comprueba si existe un chat_id activo para esa sesión.</w:t>
      </w:r>
    </w:p>
    <w:p>
      <w:pPr>
        <w:pStyle w:val="ListParagraph"/>
        <w:numPr>
          <w:ilvl w:val="0"/>
          <w:numId w:val="3"/>
        </w:numPr>
        <w:spacing w:after="80"/>
      </w:pPr>
      <w:r>
        <w:rPr>
          <w:rFonts w:ascii="Arial" w:cs="Arial" w:eastAsia="Arial" w:hAnsi="Arial"/>
          <w:sz w:val="22"/>
          <w:szCs w:val="22"/>
        </w:rPr>
        <w:t xml:space="preserve">Si no existe, crea una nueva conversación en la API (PATCH /api/chats) y obtiene el chat_id.</w:t>
      </w:r>
    </w:p>
    <w:p>
      <w:pPr>
        <w:pStyle w:val="ListParagraph"/>
        <w:numPr>
          <w:ilvl w:val="0"/>
          <w:numId w:val="3"/>
        </w:numPr>
        <w:spacing w:after="80"/>
      </w:pPr>
      <w:r>
        <w:rPr>
          <w:rFonts w:ascii="Arial" w:cs="Arial" w:eastAsia="Arial" w:hAnsi="Arial"/>
          <w:sz w:val="22"/>
          <w:szCs w:val="22"/>
        </w:rPr>
        <w:t xml:space="preserve">Envía el mensaje a la API (PATCH /api/chats/{chat_id}) con el modelo configurado.</w:t>
      </w:r>
    </w:p>
    <w:p>
      <w:pPr>
        <w:pStyle w:val="ListParagraph"/>
        <w:numPr>
          <w:ilvl w:val="0"/>
          <w:numId w:val="3"/>
        </w:numPr>
        <w:spacing w:after="80"/>
      </w:pPr>
      <w:r>
        <w:rPr>
          <w:rFonts w:ascii="Arial" w:cs="Arial" w:eastAsia="Arial" w:hAnsi="Arial"/>
          <w:sz w:val="22"/>
          <w:szCs w:val="22"/>
        </w:rPr>
        <w:t xml:space="preserve">La API procesa la consulta con el LLM y devuelve la respuesta en texto plano.</w:t>
      </w:r>
    </w:p>
    <w:p>
      <w:pPr>
        <w:pStyle w:val="ListParagraph"/>
        <w:numPr>
          <w:ilvl w:val="0"/>
          <w:numId w:val="3"/>
        </w:numPr>
        <w:spacing w:after="80"/>
      </w:pPr>
      <w:r>
        <w:rPr>
          <w:rFonts w:ascii="Arial" w:cs="Arial" w:eastAsia="Arial" w:hAnsi="Arial"/>
          <w:sz w:val="22"/>
          <w:szCs w:val="22"/>
        </w:rPr>
        <w:t xml:space="preserve">El plugin devuelve la respuesta a AI Engine Pro, que la muestra al usuario.</w:t>
      </w:r>
    </w:p>
    <w:p/>
    <w:p>
      <w:pPr>
        <w:pStyle w:val="Heading2"/>
        <w:spacing w:after="120" w:before="280"/>
      </w:pPr>
      <w:r>
        <w:rPr>
          <w:rFonts w:ascii="Arial" w:cs="Arial" w:eastAsia="Arial" w:hAnsi="Arial"/>
          <w:b/>
          <w:bCs/>
          <w:color w:val="4B5C66"/>
          <w:sz w:val="28"/>
          <w:szCs w:val="28"/>
        </w:rPr>
        <w:t xml:space="preserve">Autenticación y seguridad</w:t>
      </w:r>
    </w:p>
    <w:p>
      <w:pPr>
        <w:spacing w:after="120"/>
      </w:pPr>
      <w:r>
        <w:rPr>
          <w:rFonts w:ascii="Arial" w:cs="Arial" w:eastAsia="Arial" w:hAnsi="Arial"/>
          <w:sz w:val="22"/>
          <w:szCs w:val="22"/>
        </w:rPr>
        <w:t xml:space="preserve">La API SCAYLE requiere autenticación mediante JWT (JSON Web Token). El plugin obtiene el token al iniciar sesión con el usuario de servicio y lo almacena en la base de datos de WordPress (transient con caducidad de 11 meses). Cuando el token caduca o la API devuelve un error 401, el plugin lo renueva automáticamente sin intervención manual.</w:t>
      </w:r>
    </w:p>
    <w:p/>
    <w:p>
      <w:r>
        <w:br w:type="page"/>
      </w:r>
    </w:p>
    <w:p>
      <w:pPr>
        <w:pStyle w:val="Heading1"/>
        <w:pBdr>
          <w:bottom w:val="single" w:color="C0392B" w:sz="8" w:space="4"/>
        </w:pBdr>
        <w:spacing w:after="160" w:before="360"/>
      </w:pPr>
      <w:r>
        <w:rPr>
          <w:rFonts w:ascii="Arial" w:cs="Arial" w:eastAsia="Arial" w:hAnsi="Arial"/>
          <w:b/>
          <w:bCs/>
          <w:color w:val="C0392B"/>
          <w:sz w:val="36"/>
          <w:szCs w:val="36"/>
        </w:rPr>
        <w:t xml:space="preserve">4. Interfaz web: Digiliencia.org</w:t>
      </w:r>
    </w:p>
    <w:p>
      <w:pPr>
        <w:spacing w:after="120"/>
      </w:pPr>
      <w:r>
        <w:rPr>
          <w:rFonts w:ascii="Arial" w:cs="Arial" w:eastAsia="Arial" w:hAnsi="Arial"/>
          <w:sz w:val="22"/>
          <w:szCs w:val="22"/>
        </w:rPr>
        <w:t xml:space="preserve">La interfaz web fue desarrollada íntegramente a medida e integrada en WordPress mediante un bloque HTML personalizado. No utiliza temas o plugins de diseño externos.</w:t>
      </w:r>
    </w:p>
    <w:p/>
    <w:p>
      <w:pPr>
        <w:pStyle w:val="Heading2"/>
        <w:spacing w:after="120" w:before="280"/>
      </w:pPr>
      <w:r>
        <w:rPr>
          <w:rFonts w:ascii="Arial" w:cs="Arial" w:eastAsia="Arial" w:hAnsi="Arial"/>
          <w:b/>
          <w:bCs/>
          <w:color w:val="4B5C66"/>
          <w:sz w:val="28"/>
          <w:szCs w:val="28"/>
        </w:rPr>
        <w:t xml:space="preserve">Componentes de la interfaz</w:t>
      </w:r>
    </w:p>
    <w:p>
      <w:pPr>
        <w:pStyle w:val="ListParagraph"/>
        <w:numPr>
          <w:ilvl w:val="0"/>
          <w:numId w:val="2"/>
        </w:numPr>
        <w:spacing w:after="80"/>
      </w:pPr>
      <w:r>
        <w:rPr>
          <w:rFonts w:ascii="Arial" w:cs="Arial" w:eastAsia="Arial" w:hAnsi="Arial"/>
          <w:b/>
          <w:bCs/>
          <w:color w:val="000000"/>
        </w:rPr>
        <w:t xml:space="preserve">Cabecera de escritorio y móvil: </w:t>
      </w:r>
      <w:r>
        <w:rPr>
          <w:rFonts w:ascii="Arial" w:cs="Arial" w:eastAsia="Arial" w:hAnsi="Arial"/>
          <w:sz w:val="22"/>
          <w:szCs w:val="22"/>
        </w:rPr>
        <w:t xml:space="preserve">Diseño responsive con los logos de CiberSegurIA y Digiliencia, menú de navegación y transición automática entre vista escritorio (≥768px) y vista móvil (&lt;768px).</w:t>
      </w:r>
    </w:p>
    <w:p>
      <w:pPr>
        <w:pStyle w:val="ListParagraph"/>
        <w:numPr>
          <w:ilvl w:val="0"/>
          <w:numId w:val="2"/>
        </w:numPr>
        <w:spacing w:after="80"/>
      </w:pPr>
      <w:r>
        <w:rPr>
          <w:rFonts w:ascii="Arial" w:cs="Arial" w:eastAsia="Arial" w:hAnsi="Arial"/>
          <w:b/>
          <w:bCs/>
          <w:color w:val="000000"/>
        </w:rPr>
        <w:t xml:space="preserve">Panel lateral (sidebar): </w:t>
      </w:r>
      <w:r>
        <w:rPr>
          <w:rFonts w:ascii="Arial" w:cs="Arial" w:eastAsia="Arial" w:hAnsi="Arial"/>
          <w:sz w:val="22"/>
          <w:szCs w:val="22"/>
        </w:rPr>
        <w:t xml:space="preserve">Lista de conversaciones guardadas localmente en el navegador (localStorage). Permite crear nuevas conversaciones, cambiar entre ellas y eliminarlas.</w:t>
      </w:r>
    </w:p>
    <w:p>
      <w:pPr>
        <w:pStyle w:val="ListParagraph"/>
        <w:numPr>
          <w:ilvl w:val="0"/>
          <w:numId w:val="2"/>
        </w:numPr>
        <w:spacing w:after="80"/>
      </w:pPr>
      <w:r>
        <w:rPr>
          <w:rFonts w:ascii="Arial" w:cs="Arial" w:eastAsia="Arial" w:hAnsi="Arial"/>
          <w:b/>
          <w:bCs/>
          <w:color w:val="000000"/>
        </w:rPr>
        <w:t xml:space="preserve">Área del chatbot: </w:t>
      </w:r>
      <w:r>
        <w:rPr>
          <w:rFonts w:ascii="Arial" w:cs="Arial" w:eastAsia="Arial" w:hAnsi="Arial"/>
          <w:sz w:val="22"/>
          <w:szCs w:val="22"/>
        </w:rPr>
        <w:t xml:space="preserve">Contiene el widget de AI Engine Pro con altura dinámica que se adapta al espacio disponible. Incluye la barra de encabezado con indicador de estado "Online" y botón de descarga.</w:t>
      </w:r>
    </w:p>
    <w:p>
      <w:pPr>
        <w:pStyle w:val="ListParagraph"/>
        <w:numPr>
          <w:ilvl w:val="0"/>
          <w:numId w:val="2"/>
        </w:numPr>
        <w:spacing w:after="80"/>
      </w:pPr>
      <w:r>
        <w:rPr>
          <w:rFonts w:ascii="Arial" w:cs="Arial" w:eastAsia="Arial" w:hAnsi="Arial"/>
          <w:b/>
          <w:bCs/>
          <w:color w:val="000000"/>
        </w:rPr>
        <w:t xml:space="preserve">Chips de sugerencia: </w:t>
      </w:r>
      <w:r>
        <w:rPr>
          <w:rFonts w:ascii="Arial" w:cs="Arial" w:eastAsia="Arial" w:hAnsi="Arial"/>
          <w:sz w:val="22"/>
          <w:szCs w:val="22"/>
        </w:rPr>
        <w:t xml:space="preserve">Botones de acceso rápido con preguntas predefinidas: ¿Qué es phishing?, Contraseña segura, Ransomware y ENS.</w:t>
      </w:r>
    </w:p>
    <w:p/>
    <w:p>
      <w:pPr>
        <w:pStyle w:val="Heading2"/>
        <w:spacing w:after="120" w:before="280"/>
      </w:pPr>
      <w:r>
        <w:rPr>
          <w:rFonts w:ascii="Arial" w:cs="Arial" w:eastAsia="Arial" w:hAnsi="Arial"/>
          <w:b/>
          <w:bCs/>
          <w:color w:val="4B5C66"/>
          <w:sz w:val="28"/>
          <w:szCs w:val="28"/>
        </w:rPr>
        <w:t xml:space="preserve">Almacenamiento local de conversaciones</w:t>
      </w:r>
    </w:p>
    <w:p>
      <w:pPr>
        <w:spacing w:after="120"/>
      </w:pPr>
      <w:r>
        <w:rPr>
          <w:rFonts w:ascii="Arial" w:cs="Arial" w:eastAsia="Arial" w:hAnsi="Arial"/>
          <w:sz w:val="22"/>
          <w:szCs w:val="22"/>
        </w:rPr>
        <w:t xml:space="preserve">El historial de conversaciones se gestiona en el navegador mediante localStorage bajo la clave dgc_v4. Cada conversación almacena un identificador único, el título, la fecha y el HTML de la conversación. El límite es de 40 conversaciones por dispositivo.</w:t>
      </w:r>
    </w:p>
    <w:p/>
    <w:p>
      <w:r>
        <w:br w:type="page"/>
      </w:r>
    </w:p>
    <w:p>
      <w:pPr>
        <w:pStyle w:val="Heading1"/>
        <w:pBdr>
          <w:bottom w:val="single" w:color="C0392B" w:sz="8" w:space="4"/>
        </w:pBdr>
        <w:spacing w:after="160" w:before="360"/>
      </w:pPr>
      <w:r>
        <w:rPr>
          <w:rFonts w:ascii="Arial" w:cs="Arial" w:eastAsia="Arial" w:hAnsi="Arial"/>
          <w:b/>
          <w:bCs/>
          <w:color w:val="C0392B"/>
          <w:sz w:val="36"/>
          <w:szCs w:val="36"/>
        </w:rPr>
        <w:t xml:space="preserve">5. API SCAYLE: sistema de IA</w:t>
      </w:r>
    </w:p>
    <w:p>
      <w:pPr>
        <w:spacing w:after="120"/>
      </w:pPr>
      <w:r>
        <w:rPr>
          <w:rFonts w:ascii="Arial" w:cs="Arial" w:eastAsia="Arial" w:hAnsi="Arial"/>
          <w:sz w:val="22"/>
          <w:szCs w:val="22"/>
        </w:rPr>
        <w:t xml:space="preserve">La API SCAYLE es el sistema de inteligencia artificial desarrollado y mantenido por la Universidad de León. Está desplegada en api.digiliencia.org y expone una interfaz REST propia, no compatible con el estándar OpenAI.</w:t>
      </w:r>
    </w:p>
    <w:p/>
    <w:p>
      <w:pPr>
        <w:pStyle w:val="Heading2"/>
        <w:spacing w:after="120" w:before="280"/>
      </w:pPr>
      <w:r>
        <w:rPr>
          <w:rFonts w:ascii="Arial" w:cs="Arial" w:eastAsia="Arial" w:hAnsi="Arial"/>
          <w:b/>
          <w:bCs/>
          <w:color w:val="4B5C66"/>
          <w:sz w:val="28"/>
          <w:szCs w:val="28"/>
        </w:rPr>
        <w:t xml:space="preserve">Endpoints utilizados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CCCCC" w:sz="1"/>
              <w:left w:val="single" w:color="CCCCCC" w:sz="1"/>
              <w:bottom w:val="single" w:color="CCCCCC" w:sz="1"/>
              <w:right w:val="single" w:color="CCCCCC" w:sz="1"/>
            </w:tcBorders>
            <w:shd w:fill="4B5C66"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5826"/>
            <w:tcBorders>
              <w:top w:val="single" w:color="CCCCCC" w:sz="1"/>
              <w:left w:val="single" w:color="CCCCCC" w:sz="1"/>
              <w:bottom w:val="single" w:color="CCCCCC" w:sz="1"/>
              <w:right w:val="single" w:color="CCCCCC" w:sz="1"/>
            </w:tcBorders>
            <w:shd w:fill="4B5C66" w:val="clear"/>
            <w:tcMar>
              <w:top w:type="dxa" w:w="80"/>
              <w:left w:type="dxa" w:w="120"/>
              <w:bottom w:type="dxa" w:w="80"/>
              <w:right w:type="dxa" w:w="120"/>
            </w:tcMar>
          </w:tcPr>
          <w:p>
            <w:r>
              <w:rPr>
                <w:rFonts w:ascii="Arial" w:cs="Arial" w:eastAsia="Arial" w:hAnsi="Arial"/>
                <w:b/>
                <w:bCs/>
                <w:color w:val="FFFFFF"/>
                <w:sz w:val="20"/>
                <w:szCs w:val="20"/>
              </w:rPr>
              <w:t xml:space="preserve">Función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POST /api/auth/login</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Autenticación del usuario de servicio. Devuelve el JWT de acceso.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PATCH /api/chats</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Crea una nueva conversación. Requiere el campo title. Devuelve el chat_id.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PATCH /api/chats/{chat_id}</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Envía un mensaje a una conversación existente. Devuelve la respuesta del LLM en el campo text.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GET /api/chats/models</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Lista los modelos disponibles con su UUID. No requiere autenticación.</w:t>
            </w:r>
          </w:p>
        </w:tc>
      </w:tr>
    </w:tbl>
    <w:p/>
    <w:p>
      <w:pPr>
        <w:pStyle w:val="Heading2"/>
        <w:spacing w:after="120" w:before="280"/>
      </w:pPr>
      <w:r>
        <w:rPr>
          <w:rFonts w:ascii="Arial" w:cs="Arial" w:eastAsia="Arial" w:hAnsi="Arial"/>
          <w:b/>
          <w:bCs/>
          <w:color w:val="4B5C66"/>
          <w:sz w:val="28"/>
          <w:szCs w:val="28"/>
        </w:rPr>
        <w:t xml:space="preserve">Documentación</w:t>
      </w:r>
    </w:p>
    <w:p>
      <w:pPr>
        <w:spacing w:after="120"/>
      </w:pPr>
      <w:r>
        <w:rPr>
          <w:rFonts w:ascii="Arial" w:cs="Arial" w:eastAsia="Arial" w:hAnsi="Arial"/>
          <w:sz w:val="22"/>
          <w:szCs w:val="22"/>
        </w:rPr>
        <w:t xml:space="preserve">La documentación completa de la API está disponible en formato OpenAPI (Swagger) en https://api.digiliencia.org/api/docs.</w:t>
      </w:r>
    </w:p>
    <w:p/>
    <w:p>
      <w:r>
        <w:br w:type="page"/>
      </w:r>
    </w:p>
    <w:p>
      <w:pPr>
        <w:pStyle w:val="Heading1"/>
        <w:pBdr>
          <w:bottom w:val="single" w:color="C0392B" w:sz="8" w:space="4"/>
        </w:pBdr>
        <w:spacing w:after="160" w:before="360"/>
      </w:pPr>
      <w:r>
        <w:rPr>
          <w:rFonts w:ascii="Arial" w:cs="Arial" w:eastAsia="Arial" w:hAnsi="Arial"/>
          <w:b/>
          <w:bCs/>
          <w:color w:val="C0392B"/>
          <w:sz w:val="36"/>
          <w:szCs w:val="36"/>
        </w:rPr>
        <w:t xml:space="preserve">6. Plugin adaptador WordPress–SCAYLE</w:t>
      </w:r>
    </w:p>
    <w:p>
      <w:pPr>
        <w:spacing w:after="120"/>
      </w:pPr>
      <w:r>
        <w:rPr>
          <w:rFonts w:ascii="Arial" w:cs="Arial" w:eastAsia="Arial" w:hAnsi="Arial"/>
          <w:sz w:val="22"/>
          <w:szCs w:val="22"/>
        </w:rPr>
        <w:t xml:space="preserve">El plugin adaptador (ai-engine-digiliencia-adapter.php) es el núcleo de la integración. Es un plugin PHP para WordPress desarrollado a medida que actúa como puente entre AI Engine Pro y la API SCAYLE.</w:t>
      </w:r>
    </w:p>
    <w:p/>
    <w:p>
      <w:pPr>
        <w:pStyle w:val="Heading2"/>
        <w:spacing w:after="120" w:before="280"/>
      </w:pPr>
      <w:r>
        <w:rPr>
          <w:rFonts w:ascii="Arial" w:cs="Arial" w:eastAsia="Arial" w:hAnsi="Arial"/>
          <w:b/>
          <w:bCs/>
          <w:color w:val="4B5C66"/>
          <w:sz w:val="28"/>
          <w:szCs w:val="28"/>
        </w:rPr>
        <w:t xml:space="preserve">Funcionamiento</w:t>
      </w:r>
    </w:p>
    <w:p>
      <w:pPr>
        <w:pStyle w:val="ListParagraph"/>
        <w:numPr>
          <w:ilvl w:val="0"/>
          <w:numId w:val="2"/>
        </w:numPr>
        <w:spacing w:after="80"/>
      </w:pPr>
      <w:r>
        <w:rPr>
          <w:rFonts w:ascii="Arial" w:cs="Arial" w:eastAsia="Arial" w:hAnsi="Arial"/>
          <w:b/>
          <w:bCs/>
          <w:color w:val="000000"/>
        </w:rPr>
        <w:t xml:space="preserve">Interceptación de mensajes: </w:t>
      </w:r>
      <w:r>
        <w:rPr>
          <w:rFonts w:ascii="Arial" w:cs="Arial" w:eastAsia="Arial" w:hAnsi="Arial"/>
          <w:sz w:val="22"/>
          <w:szCs w:val="22"/>
        </w:rPr>
        <w:t xml:space="preserve">Usa el hook mwai_chatbot_takeover de AI Engine Pro para capturar cada mensaje antes de que el plugin lo procese con su proveedor habitual.</w:t>
      </w:r>
    </w:p>
    <w:p>
      <w:pPr>
        <w:pStyle w:val="ListParagraph"/>
        <w:numPr>
          <w:ilvl w:val="0"/>
          <w:numId w:val="2"/>
        </w:numPr>
        <w:spacing w:after="80"/>
      </w:pPr>
      <w:r>
        <w:rPr>
          <w:rFonts w:ascii="Arial" w:cs="Arial" w:eastAsia="Arial" w:hAnsi="Arial"/>
          <w:b/>
          <w:bCs/>
          <w:color w:val="000000"/>
        </w:rPr>
        <w:t xml:space="preserve">Gestión de sesión: </w:t>
      </w:r>
      <w:r>
        <w:rPr>
          <w:rFonts w:ascii="Arial" w:cs="Arial" w:eastAsia="Arial" w:hAnsi="Arial"/>
          <w:sz w:val="22"/>
          <w:szCs w:val="22"/>
        </w:rPr>
        <w:t xml:space="preserve">Almacena el chat_id activo en la base de datos de WordPress. Cuando se inicia una nueva conversación, se genera un nuevo chat_id en la API.</w:t>
      </w:r>
    </w:p>
    <w:p>
      <w:pPr>
        <w:pStyle w:val="ListParagraph"/>
        <w:numPr>
          <w:ilvl w:val="0"/>
          <w:numId w:val="2"/>
        </w:numPr>
        <w:spacing w:after="80"/>
      </w:pPr>
      <w:r>
        <w:rPr>
          <w:rFonts w:ascii="Arial" w:cs="Arial" w:eastAsia="Arial" w:hAnsi="Arial"/>
          <w:b/>
          <w:bCs/>
          <w:color w:val="000000"/>
        </w:rPr>
        <w:t xml:space="preserve">Autenticación JWT: </w:t>
      </w:r>
      <w:r>
        <w:rPr>
          <w:rFonts w:ascii="Arial" w:cs="Arial" w:eastAsia="Arial" w:hAnsi="Arial"/>
          <w:sz w:val="22"/>
          <w:szCs w:val="22"/>
        </w:rPr>
        <w:t xml:space="preserve">El token se obtiene al primer uso y se almacena como transient con caducidad de 11 meses. Si la API devuelve un error 401, el plugin renueva el token automáticamente y reintenta.</w:t>
      </w:r>
    </w:p>
    <w:p>
      <w:pPr>
        <w:pStyle w:val="ListParagraph"/>
        <w:numPr>
          <w:ilvl w:val="0"/>
          <w:numId w:val="2"/>
        </w:numPr>
        <w:spacing w:after="80"/>
      </w:pPr>
      <w:r>
        <w:rPr>
          <w:rFonts w:ascii="Arial" w:cs="Arial" w:eastAsia="Arial" w:hAnsi="Arial"/>
          <w:b/>
          <w:bCs/>
          <w:color w:val="000000"/>
        </w:rPr>
        <w:t xml:space="preserve">Transformación de respuesta: </w:t>
      </w:r>
      <w:r>
        <w:rPr>
          <w:rFonts w:ascii="Arial" w:cs="Arial" w:eastAsia="Arial" w:hAnsi="Arial"/>
          <w:sz w:val="22"/>
          <w:szCs w:val="22"/>
        </w:rPr>
        <w:t xml:space="preserve">Convierte la respuesta de la API (campo text) al formato que espera AI Engine Pro.</w:t>
      </w:r>
    </w:p>
    <w:p/>
    <w:p>
      <w:pPr>
        <w:pStyle w:val="Heading2"/>
        <w:spacing w:after="120" w:before="280"/>
      </w:pPr>
      <w:r>
        <w:rPr>
          <w:rFonts w:ascii="Arial" w:cs="Arial" w:eastAsia="Arial" w:hAnsi="Arial"/>
          <w:b/>
          <w:bCs/>
          <w:color w:val="4B5C66"/>
          <w:sz w:val="28"/>
          <w:szCs w:val="28"/>
        </w:rPr>
        <w:t xml:space="preserve">Configuración actual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CCCCC" w:sz="1"/>
              <w:left w:val="single" w:color="CCCCCC" w:sz="1"/>
              <w:bottom w:val="single" w:color="CCCCCC" w:sz="1"/>
              <w:right w:val="single" w:color="CCCCCC" w:sz="1"/>
            </w:tcBorders>
            <w:shd w:fill="4B5C66" w:val="clear"/>
            <w:tcMar>
              <w:top w:type="dxa" w:w="80"/>
              <w:left w:type="dxa" w:w="120"/>
              <w:bottom w:type="dxa" w:w="80"/>
              <w:right w:type="dxa" w:w="120"/>
            </w:tcMar>
          </w:tcPr>
          <w:p>
            <w:r>
              <w:rPr>
                <w:rFonts w:ascii="Arial" w:cs="Arial" w:eastAsia="Arial" w:hAnsi="Arial"/>
                <w:b/>
                <w:bCs/>
                <w:color w:val="FFFFFF"/>
                <w:sz w:val="20"/>
                <w:szCs w:val="20"/>
              </w:rPr>
              <w:t xml:space="preserve">Parámetro</w:t>
            </w:r>
          </w:p>
        </w:tc>
        <w:tc>
          <w:tcPr>
            <w:tcW w:type="dxa" w:w="5826"/>
            <w:tcBorders>
              <w:top w:val="single" w:color="CCCCCC" w:sz="1"/>
              <w:left w:val="single" w:color="CCCCCC" w:sz="1"/>
              <w:bottom w:val="single" w:color="CCCCCC" w:sz="1"/>
              <w:right w:val="single" w:color="CCCCCC" w:sz="1"/>
            </w:tcBorders>
            <w:shd w:fill="4B5C66" w:val="clear"/>
            <w:tcMar>
              <w:top w:type="dxa" w:w="80"/>
              <w:left w:type="dxa" w:w="120"/>
              <w:bottom w:type="dxa" w:w="80"/>
              <w:right w:type="dxa" w:w="120"/>
            </w:tcMar>
          </w:tcPr>
          <w:p>
            <w:r>
              <w:rPr>
                <w:rFonts w:ascii="Arial" w:cs="Arial" w:eastAsia="Arial" w:hAnsi="Arial"/>
                <w:b/>
                <w:bCs/>
                <w:color w:val="FFFFFF"/>
                <w:sz w:val="20"/>
                <w:szCs w:val="20"/>
              </w:rPr>
              <w:t xml:space="preserve">Valor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Usuario de servicio</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manuel@gmail.com (cuenta de prueba — pendiente de cambiar)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Modelo activo</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qwen3:32b (UUID: 0815bd64-392d-4b57-ae43-8a671adfe95f)</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Timeout login</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30 segundos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Timeout mensaje</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600 segundos (10 minutos)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Caducidad JWT</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11 meses con renovación automática</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4F5F7" w:val="clear"/>
            <w:tcMar>
              <w:top w:type="dxa" w:w="120"/>
              <w:left w:type="dxa" w:w="160"/>
              <w:bottom w:type="dxa" w:w="120"/>
              <w:right w:type="dxa" w:w="160"/>
            </w:tcMar>
          </w:tcPr>
          <w:p>
            <w:pPr>
              <w:spacing w:after="60"/>
            </w:pPr>
            <w:r>
              <w:rPr>
                <w:rFonts w:ascii="Arial" w:cs="Arial" w:eastAsia="Arial" w:hAnsi="Arial"/>
                <w:b/>
                <w:bCs/>
                <w:color w:val="C0392B"/>
              </w:rPr>
              <w:t xml:space="preserve">▶ Pendiente</w:t>
            </w:r>
          </w:p>
          <w:p>
            <w:pPr>
              <w:spacing w:after="120"/>
            </w:pPr>
            <w:r>
              <w:rPr>
                <w:rFonts w:ascii="Arial" w:cs="Arial" w:eastAsia="Arial" w:hAnsi="Arial"/>
                <w:sz w:val="22"/>
                <w:szCs w:val="22"/>
              </w:rPr>
              <w:t xml:space="preserve">Sustituir el usuario de prueba manuel@gmail.com por un usuario de servicio permanente creado específicamente para la integración.</w:t>
            </w:r>
          </w:p>
        </w:tc>
      </w:tr>
    </w:tbl>
    <w:p/>
    <w:p>
      <w:r>
        <w:br w:type="page"/>
      </w:r>
    </w:p>
    <w:p>
      <w:pPr>
        <w:pStyle w:val="Heading1"/>
        <w:pBdr>
          <w:bottom w:val="single" w:color="C0392B" w:sz="8" w:space="4"/>
        </w:pBdr>
        <w:spacing w:after="160" w:before="360"/>
      </w:pPr>
      <w:r>
        <w:rPr>
          <w:rFonts w:ascii="Arial" w:cs="Arial" w:eastAsia="Arial" w:hAnsi="Arial"/>
          <w:b/>
          <w:bCs/>
          <w:color w:val="C0392B"/>
          <w:sz w:val="36"/>
          <w:szCs w:val="36"/>
        </w:rPr>
        <w:t xml:space="preserve">7. Plugin de descarga de conversaciones</w:t>
      </w:r>
    </w:p>
    <w:p>
      <w:pPr>
        <w:spacing w:after="120"/>
      </w:pPr>
      <w:r>
        <w:rPr>
          <w:rFonts w:ascii="Arial" w:cs="Arial" w:eastAsia="Arial" w:hAnsi="Arial"/>
          <w:sz w:val="22"/>
          <w:szCs w:val="22"/>
        </w:rPr>
        <w:t xml:space="preserve">El plugin de descarga (digiliencia-descargar-conversacion.php) añade un botón en la barra superior del chat que permite al usuario guardar la conversación activa como PDF.</w:t>
      </w:r>
    </w:p>
    <w:p/>
    <w:p>
      <w:pPr>
        <w:pStyle w:val="Heading2"/>
        <w:spacing w:after="120" w:before="280"/>
      </w:pPr>
      <w:r>
        <w:rPr>
          <w:rFonts w:ascii="Arial" w:cs="Arial" w:eastAsia="Arial" w:hAnsi="Arial"/>
          <w:b/>
          <w:bCs/>
          <w:color w:val="4B5C66"/>
          <w:sz w:val="28"/>
          <w:szCs w:val="28"/>
        </w:rPr>
        <w:t xml:space="preserve">Funcionamiento</w:t>
      </w:r>
    </w:p>
    <w:p>
      <w:pPr>
        <w:pStyle w:val="ListParagraph"/>
        <w:numPr>
          <w:ilvl w:val="0"/>
          <w:numId w:val="2"/>
        </w:numPr>
        <w:spacing w:after="80"/>
      </w:pPr>
      <w:r>
        <w:rPr>
          <w:rFonts w:ascii="Arial" w:cs="Arial" w:eastAsia="Arial" w:hAnsi="Arial"/>
          <w:b/>
          <w:bCs/>
          <w:color w:val="000000"/>
        </w:rPr>
        <w:t xml:space="preserve">Inyección del botón: </w:t>
      </w:r>
      <w:r>
        <w:rPr>
          <w:rFonts w:ascii="Arial" w:cs="Arial" w:eastAsia="Arial" w:hAnsi="Arial"/>
          <w:sz w:val="22"/>
          <w:szCs w:val="22"/>
        </w:rPr>
        <w:t xml:space="preserve">Añade mediante JavaScript un botón de descarga (↓) en el área de cabecera derecha del chat, junto al indicador "Online".</w:t>
      </w:r>
    </w:p>
    <w:p>
      <w:pPr>
        <w:pStyle w:val="ListParagraph"/>
        <w:numPr>
          <w:ilvl w:val="0"/>
          <w:numId w:val="2"/>
        </w:numPr>
        <w:spacing w:after="80"/>
      </w:pPr>
      <w:r>
        <w:rPr>
          <w:rFonts w:ascii="Arial" w:cs="Arial" w:eastAsia="Arial" w:hAnsi="Arial"/>
          <w:b/>
          <w:bCs/>
          <w:color w:val="000000"/>
        </w:rPr>
        <w:t xml:space="preserve">Generación del documento: </w:t>
      </w:r>
      <w:r>
        <w:rPr>
          <w:rFonts w:ascii="Arial" w:cs="Arial" w:eastAsia="Arial" w:hAnsi="Arial"/>
          <w:sz w:val="22"/>
          <w:szCs w:val="22"/>
        </w:rPr>
        <w:t xml:space="preserve">Lee el contenido del DOM de la conversación activa, lo limpia de elementos de interfaz (SVGs, iconos, botones) y genera un documento HTML formateado como A4.</w:t>
      </w:r>
    </w:p>
    <w:p>
      <w:pPr>
        <w:pStyle w:val="ListParagraph"/>
        <w:numPr>
          <w:ilvl w:val="0"/>
          <w:numId w:val="2"/>
        </w:numPr>
        <w:spacing w:after="80"/>
      </w:pPr>
      <w:r>
        <w:rPr>
          <w:rFonts w:ascii="Arial" w:cs="Arial" w:eastAsia="Arial" w:hAnsi="Arial"/>
          <w:b/>
          <w:bCs/>
          <w:color w:val="000000"/>
        </w:rPr>
        <w:t xml:space="preserve">Impresión sin nueva pestaña: </w:t>
      </w:r>
      <w:r>
        <w:rPr>
          <w:rFonts w:ascii="Arial" w:cs="Arial" w:eastAsia="Arial" w:hAnsi="Arial"/>
          <w:sz w:val="22"/>
          <w:szCs w:val="22"/>
        </w:rPr>
        <w:t xml:space="preserve">El documento se carga en un iframe oculto y se lanza el diálogo de impresión directamente sobre la misma página.</w:t>
      </w:r>
    </w:p>
    <w:p>
      <w:pPr>
        <w:pStyle w:val="ListParagraph"/>
        <w:numPr>
          <w:ilvl w:val="0"/>
          <w:numId w:val="2"/>
        </w:numPr>
        <w:spacing w:after="80"/>
      </w:pPr>
      <w:r>
        <w:rPr>
          <w:rFonts w:ascii="Arial" w:cs="Arial" w:eastAsia="Arial" w:hAnsi="Arial"/>
          <w:b/>
          <w:bCs/>
          <w:color w:val="000000"/>
        </w:rPr>
        <w:t xml:space="preserve">Corrección del botón de copiar: </w:t>
      </w:r>
      <w:r>
        <w:rPr>
          <w:rFonts w:ascii="Arial" w:cs="Arial" w:eastAsia="Arial" w:hAnsi="Arial"/>
          <w:sz w:val="22"/>
          <w:szCs w:val="22"/>
        </w:rPr>
        <w:t xml:space="preserve">AI Engine Pro solo enlaza el evento de clic al último botón de copiar. El plugin añade un delegador de eventos que corrige este comportamiento para todos los mensajes.</w:t>
      </w:r>
    </w:p>
    <w:p>
      <w:pPr>
        <w:pStyle w:val="ListParagraph"/>
        <w:numPr>
          <w:ilvl w:val="0"/>
          <w:numId w:val="2"/>
        </w:numPr>
        <w:spacing w:after="80"/>
      </w:pPr>
      <w:r>
        <w:rPr>
          <w:rFonts w:ascii="Arial" w:cs="Arial" w:eastAsia="Arial" w:hAnsi="Arial"/>
          <w:b/>
          <w:bCs/>
          <w:color w:val="000000"/>
        </w:rPr>
        <w:t xml:space="preserve">Ocultación del botón roto: </w:t>
      </w:r>
      <w:r>
        <w:rPr>
          <w:rFonts w:ascii="Arial" w:cs="Arial" w:eastAsia="Arial" w:hAnsi="Arial"/>
          <w:sz w:val="22"/>
          <w:szCs w:val="22"/>
        </w:rPr>
        <w:t xml:space="preserve">AI Engine Pro incluye su propio botón de descarga que falla. El plugin lo oculta mediante CSS.</w:t>
      </w:r>
    </w:p>
    <w:p/>
    <w:p>
      <w:r>
        <w:br w:type="page"/>
      </w:r>
    </w:p>
    <w:p>
      <w:pPr>
        <w:pStyle w:val="Heading1"/>
        <w:pBdr>
          <w:bottom w:val="single" w:color="C0392B" w:sz="8" w:space="4"/>
        </w:pBdr>
        <w:spacing w:after="160" w:before="360"/>
      </w:pPr>
      <w:r>
        <w:rPr>
          <w:rFonts w:ascii="Arial" w:cs="Arial" w:eastAsia="Arial" w:hAnsi="Arial"/>
          <w:b/>
          <w:bCs/>
          <w:color w:val="C0392B"/>
          <w:sz w:val="36"/>
          <w:szCs w:val="36"/>
        </w:rPr>
        <w:t xml:space="preserve">8. Modelos de lenguaje y tiempos de respuesta</w:t>
      </w:r>
    </w:p>
    <w:p>
      <w:pPr>
        <w:spacing w:after="120"/>
      </w:pPr>
      <w:r>
        <w:rPr>
          <w:rFonts w:ascii="Arial" w:cs="Arial" w:eastAsia="Arial" w:hAnsi="Arial"/>
          <w:sz w:val="22"/>
          <w:szCs w:val="22"/>
        </w:rPr>
        <w:t xml:space="preserve">La API SCAYLE ofrece actualmente tres modelos de lenguaje. Los UUIDs se obtienen del endpoint GET /api/chats/models sin autenticación.</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4B5C66" w:val="clear"/>
            <w:tcMar>
              <w:top w:type="dxa" w:w="80"/>
              <w:left w:type="dxa" w:w="120"/>
              <w:bottom w:type="dxa" w:w="80"/>
              <w:right w:type="dxa" w:w="120"/>
            </w:tcMar>
          </w:tcPr>
          <w:p>
            <w:r>
              <w:rPr>
                <w:rFonts w:ascii="Arial" w:cs="Arial" w:eastAsia="Arial" w:hAnsi="Arial"/>
                <w:b/>
                <w:bCs/>
                <w:color w:val="FFFFFF"/>
                <w:sz w:val="20"/>
                <w:szCs w:val="20"/>
              </w:rPr>
              <w:t xml:space="preserve">Modelo</w:t>
            </w:r>
          </w:p>
        </w:tc>
        <w:tc>
          <w:tcPr>
            <w:tcW w:type="dxa" w:w="6826"/>
            <w:tcBorders>
              <w:top w:val="single" w:color="CCCCCC" w:sz="1"/>
              <w:left w:val="single" w:color="CCCCCC" w:sz="1"/>
              <w:bottom w:val="single" w:color="CCCCCC" w:sz="1"/>
              <w:right w:val="single" w:color="CCCCCC" w:sz="1"/>
            </w:tcBorders>
            <w:shd w:fill="4B5C66" w:val="clear"/>
            <w:tcMar>
              <w:top w:type="dxa" w:w="80"/>
              <w:left w:type="dxa" w:w="120"/>
              <w:bottom w:type="dxa" w:w="80"/>
              <w:right w:type="dxa" w:w="120"/>
            </w:tcMar>
          </w:tcPr>
          <w:p>
            <w:r>
              <w:rPr>
                <w:rFonts w:ascii="Arial" w:cs="Arial" w:eastAsia="Arial" w:hAnsi="Arial"/>
                <w:b/>
                <w:bCs/>
                <w:color w:val="FFFFFF"/>
                <w:sz w:val="20"/>
                <w:szCs w:val="20"/>
              </w:rPr>
              <w:t xml:space="preserve">UUID</w:t>
            </w:r>
          </w:p>
        </w:tc>
        <w:tc>
          <w:tcPr>
            <w:tcW w:type="dxa" w:w="6826"/>
            <w:tcBorders>
              <w:top w:val="single" w:color="CCCCCC" w:sz="1"/>
              <w:left w:val="single" w:color="CCCCCC" w:sz="1"/>
              <w:bottom w:val="single" w:color="CCCCCC" w:sz="1"/>
              <w:right w:val="single" w:color="CCCCCC" w:sz="1"/>
            </w:tcBorders>
            <w:shd w:fill="4B5C66" w:val="clear"/>
            <w:tcMar>
              <w:top w:type="dxa" w:w="80"/>
              <w:left w:type="dxa" w:w="120"/>
              <w:bottom w:type="dxa" w:w="80"/>
              <w:right w:type="dxa" w:w="120"/>
            </w:tcMar>
          </w:tcPr>
          <w:p>
            <w:r>
              <w:rPr>
                <w:rFonts w:ascii="Arial" w:cs="Arial" w:eastAsia="Arial" w:hAnsi="Arial"/>
                <w:b/>
                <w:bCs/>
                <w:color w:val="FFFFFF"/>
                <w:sz w:val="20"/>
                <w:szCs w:val="20"/>
              </w:rPr>
              <w:t xml:space="preserve">Tiempo medio</w:t>
            </w:r>
          </w:p>
        </w:tc>
        <w:tc>
          <w:tcPr>
            <w:tcW w:type="dxa" w:w="6826"/>
            <w:tcBorders>
              <w:top w:val="single" w:color="CCCCCC" w:sz="1"/>
              <w:left w:val="single" w:color="CCCCCC" w:sz="1"/>
              <w:bottom w:val="single" w:color="CCCCCC" w:sz="1"/>
              <w:right w:val="single" w:color="CCCCCC" w:sz="1"/>
            </w:tcBorders>
            <w:shd w:fill="4B5C66" w:val="clear"/>
            <w:tcMar>
              <w:top w:type="dxa" w:w="80"/>
              <w:left w:type="dxa" w:w="120"/>
              <w:bottom w:type="dxa" w:w="80"/>
              <w:right w:type="dxa" w:w="120"/>
            </w:tcMar>
          </w:tcPr>
          <w:p>
            <w:r>
              <w:rPr>
                <w:rFonts w:ascii="Arial" w:cs="Arial" w:eastAsia="Arial" w:hAnsi="Arial"/>
                <w:b/>
                <w:bCs/>
                <w:color w:val="FFFFFF"/>
                <w:sz w:val="20"/>
                <w:szCs w:val="20"/>
              </w:rPr>
              <w:t xml:space="preserve">Observaciones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gpt-oss:120b</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b1ba2ffd-...</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2–9 minutos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No apto para producción (timeout navegador)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gemma3:27b</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7cb87876-...</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15–18 seg</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Buena velocidad. Menor calidad que qwen3.</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qwen3:32b</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0815bd64-...</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29–45 seg</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Modelo en uso. Equilibrio calidad/velocidad.</w:t>
            </w:r>
          </w:p>
        </w:tc>
      </w:tr>
    </w:tbl>
    <w:p/>
    <w:p>
      <w:pPr>
        <w:spacing w:after="120"/>
      </w:pPr>
      <w:r>
        <w:rPr>
          <w:rFonts w:ascii="Arial" w:cs="Arial" w:eastAsia="Arial" w:hAnsi="Arial"/>
          <w:sz w:val="22"/>
          <w:szCs w:val="22"/>
        </w:rPr>
        <w:t xml:space="preserve">La Universidad de León está evaluando la instalación de modelos de mayor tamaño (Llama 3.1 70B, Qwen2.5-72B, Kimi 2.5) aprovechando la GPU NVIDIA A100 de 40GB de VRAM disponible.</w:t>
      </w:r>
    </w:p>
    <w:p/>
    <w:p>
      <w:r>
        <w:br w:type="page"/>
      </w:r>
    </w:p>
    <w:p>
      <w:pPr>
        <w:pStyle w:val="Heading1"/>
        <w:pBdr>
          <w:bottom w:val="single" w:color="C0392B" w:sz="8" w:space="4"/>
        </w:pBdr>
        <w:spacing w:after="160" w:before="360"/>
      </w:pPr>
      <w:r>
        <w:rPr>
          <w:rFonts w:ascii="Arial" w:cs="Arial" w:eastAsia="Arial" w:hAnsi="Arial"/>
          <w:b/>
          <w:bCs/>
          <w:color w:val="C0392B"/>
          <w:sz w:val="36"/>
          <w:szCs w:val="36"/>
        </w:rPr>
        <w:t xml:space="preserve">9. Decisiones técnicas adoptadas</w:t>
      </w:r>
    </w:p>
    <w:p>
      <w:pPr>
        <w:pStyle w:val="Heading2"/>
        <w:spacing w:after="120" w:before="280"/>
      </w:pPr>
      <w:r>
        <w:rPr>
          <w:rFonts w:ascii="Arial" w:cs="Arial" w:eastAsia="Arial" w:hAnsi="Arial"/>
          <w:b/>
          <w:bCs/>
          <w:color w:val="4B5C66"/>
          <w:sz w:val="28"/>
          <w:szCs w:val="28"/>
        </w:rPr>
        <w:t xml:space="preserve">Sin registro de usuarios</w:t>
      </w:r>
    </w:p>
    <w:p>
      <w:pPr>
        <w:spacing w:after="120"/>
      </w:pPr>
      <w:r>
        <w:rPr>
          <w:rFonts w:ascii="Arial" w:cs="Arial" w:eastAsia="Arial" w:hAnsi="Arial"/>
          <w:sz w:val="22"/>
          <w:szCs w:val="22"/>
        </w:rPr>
        <w:t xml:space="preserve">La solución no requiere que el visitante se registre. WordPress actúa como intermediario con un único usuario de servicio en la API. El aislamiento entre conversaciones de distintos usuarios está garantizado por el chat_id único que la API asigna a cada conversación.</w:t>
      </w:r>
    </w:p>
    <w:p/>
    <w:p>
      <w:pPr>
        <w:pStyle w:val="Heading2"/>
        <w:spacing w:after="120" w:before="280"/>
      </w:pPr>
      <w:r>
        <w:rPr>
          <w:rFonts w:ascii="Arial" w:cs="Arial" w:eastAsia="Arial" w:hAnsi="Arial"/>
          <w:b/>
          <w:bCs/>
          <w:color w:val="4B5C66"/>
          <w:sz w:val="28"/>
          <w:szCs w:val="28"/>
        </w:rPr>
        <w:t xml:space="preserve">Plugin PHP personalizado en lugar de integración nativa</w:t>
      </w:r>
    </w:p>
    <w:p>
      <w:pPr>
        <w:spacing w:after="120"/>
      </w:pPr>
      <w:r>
        <w:rPr>
          <w:rFonts w:ascii="Arial" w:cs="Arial" w:eastAsia="Arial" w:hAnsi="Arial"/>
          <w:sz w:val="22"/>
          <w:szCs w:val="22"/>
        </w:rPr>
        <w:t xml:space="preserve">La API SCAYLE tiene un formato propio no compatible con el estándar OpenAI. AI Engine Pro solo soporta proveedores compatibles con ese estándar, por lo que fue necesario desarrollar un plugin PHP que intercepta las peticiones y las redirige a la API de SCAYLE.</w:t>
      </w:r>
    </w:p>
    <w:p/>
    <w:p>
      <w:pPr>
        <w:pStyle w:val="Heading2"/>
        <w:spacing w:after="120" w:before="280"/>
      </w:pPr>
      <w:r>
        <w:rPr>
          <w:rFonts w:ascii="Arial" w:cs="Arial" w:eastAsia="Arial" w:hAnsi="Arial"/>
          <w:b/>
          <w:bCs/>
          <w:color w:val="4B5C66"/>
          <w:sz w:val="28"/>
          <w:szCs w:val="28"/>
        </w:rPr>
        <w:t xml:space="preserve">Almacenamiento del historial en el navegador</w:t>
      </w:r>
    </w:p>
    <w:p>
      <w:pPr>
        <w:spacing w:after="120"/>
      </w:pPr>
      <w:r>
        <w:rPr>
          <w:rFonts w:ascii="Arial" w:cs="Arial" w:eastAsia="Arial" w:hAnsi="Arial"/>
          <w:sz w:val="22"/>
          <w:szCs w:val="22"/>
        </w:rPr>
        <w:t xml:space="preserve">El historial de conversaciones se almacena en localStorage en el navegador del usuario, no en el servidor. Esto garantiza la privacidad del usuario y simplifica la arquitectura al no requerir base de datos adicional.</w:t>
      </w:r>
    </w:p>
    <w:p/>
    <w:p>
      <w:pPr>
        <w:pStyle w:val="Heading2"/>
        <w:spacing w:after="120" w:before="280"/>
      </w:pPr>
      <w:r>
        <w:rPr>
          <w:rFonts w:ascii="Arial" w:cs="Arial" w:eastAsia="Arial" w:hAnsi="Arial"/>
          <w:b/>
          <w:bCs/>
          <w:color w:val="4B5C66"/>
          <w:sz w:val="28"/>
          <w:szCs w:val="28"/>
        </w:rPr>
        <w:t xml:space="preserve">Iframe oculto para impresión de PDF</w:t>
      </w:r>
    </w:p>
    <w:p>
      <w:pPr>
        <w:spacing w:after="120"/>
      </w:pPr>
      <w:r>
        <w:rPr>
          <w:rFonts w:ascii="Arial" w:cs="Arial" w:eastAsia="Arial" w:hAnsi="Arial"/>
          <w:sz w:val="22"/>
          <w:szCs w:val="22"/>
        </w:rPr>
        <w:t xml:space="preserve">En lugar de abrir una nueva pestaña, el plugin de descarga usa un iframe oculto. Esto evita que el navegador bloquee la ventana emergente y ofrece una experiencia más fluida.</w:t>
      </w:r>
    </w:p>
    <w:p/>
    <w:p>
      <w:r>
        <w:br w:type="page"/>
      </w:r>
    </w:p>
    <w:p>
      <w:pPr>
        <w:pStyle w:val="Heading1"/>
        <w:pBdr>
          <w:bottom w:val="single" w:color="C0392B" w:sz="8" w:space="4"/>
        </w:pBdr>
        <w:spacing w:after="160" w:before="360"/>
      </w:pPr>
      <w:r>
        <w:rPr>
          <w:rFonts w:ascii="Arial" w:cs="Arial" w:eastAsia="Arial" w:hAnsi="Arial"/>
          <w:b/>
          <w:bCs/>
          <w:color w:val="C0392B"/>
          <w:sz w:val="36"/>
          <w:szCs w:val="36"/>
        </w:rPr>
        <w:t xml:space="preserve">10. Estado actual y trabajo pendiente</w:t>
      </w:r>
    </w:p>
    <w:p>
      <w:pPr>
        <w:pStyle w:val="Heading2"/>
        <w:spacing w:after="120" w:before="280"/>
      </w:pPr>
      <w:r>
        <w:rPr>
          <w:rFonts w:ascii="Arial" w:cs="Arial" w:eastAsia="Arial" w:hAnsi="Arial"/>
          <w:b/>
          <w:bCs/>
          <w:color w:val="4B5C66"/>
          <w:sz w:val="28"/>
          <w:szCs w:val="28"/>
        </w:rPr>
        <w:t xml:space="preserve">Funcionando en producción</w:t>
      </w:r>
    </w:p>
    <w:p>
      <w:pPr>
        <w:pStyle w:val="ListParagraph"/>
        <w:numPr>
          <w:ilvl w:val="0"/>
          <w:numId w:val="2"/>
        </w:numPr>
        <w:spacing w:after="80"/>
      </w:pPr>
      <w:r>
        <w:rPr>
          <w:rFonts w:ascii="Arial" w:cs="Arial" w:eastAsia="Arial" w:hAnsi="Arial"/>
          <w:sz w:val="22"/>
          <w:szCs w:val="22"/>
        </w:rPr>
        <w:t xml:space="preserve">Interfaz web completa en digiliencia.org (escritorio y móvil).</w:t>
      </w:r>
    </w:p>
    <w:p>
      <w:pPr>
        <w:pStyle w:val="ListParagraph"/>
        <w:numPr>
          <w:ilvl w:val="0"/>
          <w:numId w:val="2"/>
        </w:numPr>
        <w:spacing w:after="80"/>
      </w:pPr>
      <w:r>
        <w:rPr>
          <w:rFonts w:ascii="Arial" w:cs="Arial" w:eastAsia="Arial" w:hAnsi="Arial"/>
          <w:sz w:val="22"/>
          <w:szCs w:val="22"/>
        </w:rPr>
        <w:t xml:space="preserve">Integración WordPress–SCAYLE mediante plugin adaptador.</w:t>
      </w:r>
    </w:p>
    <w:p>
      <w:pPr>
        <w:pStyle w:val="ListParagraph"/>
        <w:numPr>
          <w:ilvl w:val="0"/>
          <w:numId w:val="2"/>
        </w:numPr>
        <w:spacing w:after="80"/>
      </w:pPr>
      <w:r>
        <w:rPr>
          <w:rFonts w:ascii="Arial" w:cs="Arial" w:eastAsia="Arial" w:hAnsi="Arial"/>
          <w:sz w:val="22"/>
          <w:szCs w:val="22"/>
        </w:rPr>
        <w:t xml:space="preserve">Gestión de múltiples conversaciones con historial local.</w:t>
      </w:r>
    </w:p>
    <w:p>
      <w:pPr>
        <w:pStyle w:val="ListParagraph"/>
        <w:numPr>
          <w:ilvl w:val="0"/>
          <w:numId w:val="2"/>
        </w:numPr>
        <w:spacing w:after="80"/>
      </w:pPr>
      <w:r>
        <w:rPr>
          <w:rFonts w:ascii="Arial" w:cs="Arial" w:eastAsia="Arial" w:hAnsi="Arial"/>
          <w:sz w:val="22"/>
          <w:szCs w:val="22"/>
        </w:rPr>
        <w:t xml:space="preserve">Chips de sugerencia con envío automático.</w:t>
      </w:r>
    </w:p>
    <w:p>
      <w:pPr>
        <w:pStyle w:val="ListParagraph"/>
        <w:numPr>
          <w:ilvl w:val="0"/>
          <w:numId w:val="2"/>
        </w:numPr>
        <w:spacing w:after="80"/>
      </w:pPr>
      <w:r>
        <w:rPr>
          <w:rFonts w:ascii="Arial" w:cs="Arial" w:eastAsia="Arial" w:hAnsi="Arial"/>
          <w:sz w:val="22"/>
          <w:szCs w:val="22"/>
        </w:rPr>
        <w:t xml:space="preserve">Descarga de conversaciones en PDF mediante iframe oculto.</w:t>
      </w:r>
    </w:p>
    <w:p>
      <w:pPr>
        <w:pStyle w:val="ListParagraph"/>
        <w:numPr>
          <w:ilvl w:val="0"/>
          <w:numId w:val="2"/>
        </w:numPr>
        <w:spacing w:after="80"/>
      </w:pPr>
      <w:r>
        <w:rPr>
          <w:rFonts w:ascii="Arial" w:cs="Arial" w:eastAsia="Arial" w:hAnsi="Arial"/>
          <w:sz w:val="22"/>
          <w:szCs w:val="22"/>
        </w:rPr>
        <w:t xml:space="preserve">Corrección del botón de copiar para todos los mensajes.</w:t>
      </w:r>
    </w:p>
    <w:p>
      <w:pPr>
        <w:pStyle w:val="ListParagraph"/>
        <w:numPr>
          <w:ilvl w:val="0"/>
          <w:numId w:val="2"/>
        </w:numPr>
        <w:spacing w:after="80"/>
      </w:pPr>
      <w:r>
        <w:rPr>
          <w:rFonts w:ascii="Arial" w:cs="Arial" w:eastAsia="Arial" w:hAnsi="Arial"/>
          <w:sz w:val="22"/>
          <w:szCs w:val="22"/>
        </w:rPr>
        <w:t xml:space="preserve">Aviso de consentimiento de privacidad al primer acceso.</w:t>
      </w:r>
    </w:p>
    <w:p/>
    <w:p>
      <w:pPr>
        <w:pStyle w:val="Heading2"/>
        <w:spacing w:after="120" w:before="280"/>
      </w:pPr>
      <w:r>
        <w:rPr>
          <w:rFonts w:ascii="Arial" w:cs="Arial" w:eastAsia="Arial" w:hAnsi="Arial"/>
          <w:b/>
          <w:bCs/>
          <w:color w:val="4B5C66"/>
          <w:sz w:val="28"/>
          <w:szCs w:val="28"/>
        </w:rPr>
        <w:t xml:space="preserve">Pendiente</w:t>
      </w:r>
    </w:p>
    <w:p>
      <w:pPr>
        <w:pStyle w:val="ListParagraph"/>
        <w:numPr>
          <w:ilvl w:val="0"/>
          <w:numId w:val="2"/>
        </w:numPr>
        <w:spacing w:after="80"/>
      </w:pPr>
      <w:r>
        <w:rPr>
          <w:rFonts w:ascii="Arial" w:cs="Arial" w:eastAsia="Arial" w:hAnsi="Arial"/>
          <w:b/>
          <w:bCs/>
          <w:color w:val="000000"/>
        </w:rPr>
        <w:t xml:space="preserve">Usuario de servicio definitivo: </w:t>
      </w:r>
      <w:r>
        <w:rPr>
          <w:rFonts w:ascii="Arial" w:cs="Arial" w:eastAsia="Arial" w:hAnsi="Arial"/>
          <w:sz w:val="22"/>
          <w:szCs w:val="22"/>
        </w:rPr>
        <w:t xml:space="preserve">Reemplazar las credenciales de prueba por un usuario permanente creado específicamente para la integración.</w:t>
      </w:r>
    </w:p>
    <w:p>
      <w:pPr>
        <w:pStyle w:val="ListParagraph"/>
        <w:numPr>
          <w:ilvl w:val="0"/>
          <w:numId w:val="2"/>
        </w:numPr>
        <w:spacing w:after="80"/>
      </w:pPr>
      <w:r>
        <w:rPr>
          <w:rFonts w:ascii="Arial" w:cs="Arial" w:eastAsia="Arial" w:hAnsi="Arial"/>
          <w:b/>
          <w:bCs/>
          <w:color w:val="000000"/>
        </w:rPr>
        <w:t xml:space="preserve">Modelo de producción: </w:t>
      </w:r>
      <w:r>
        <w:rPr>
          <w:rFonts w:ascii="Arial" w:cs="Arial" w:eastAsia="Arial" w:hAnsi="Arial"/>
          <w:sz w:val="22"/>
          <w:szCs w:val="22"/>
        </w:rPr>
        <w:t xml:space="preserve">Pendiente de decisión final sobre el modelo a usar (Qwen2.5-72B, Llama 3.1 70B o Kimi 2.5).</w:t>
      </w:r>
    </w:p>
    <w:p>
      <w:pPr>
        <w:pStyle w:val="ListParagraph"/>
        <w:numPr>
          <w:ilvl w:val="0"/>
          <w:numId w:val="2"/>
        </w:numPr>
        <w:spacing w:after="80"/>
      </w:pPr>
      <w:r>
        <w:rPr>
          <w:rFonts w:ascii="Arial" w:cs="Arial" w:eastAsia="Arial" w:hAnsi="Arial"/>
          <w:b/>
          <w:bCs/>
          <w:color w:val="000000"/>
        </w:rPr>
        <w:t xml:space="preserve">Actualización del UUID del modelo: </w:t>
      </w:r>
      <w:r>
        <w:rPr>
          <w:rFonts w:ascii="Arial" w:cs="Arial" w:eastAsia="Arial" w:hAnsi="Arial"/>
          <w:sz w:val="22"/>
          <w:szCs w:val="22"/>
        </w:rPr>
        <w:t xml:space="preserve">Una vez decidido el modelo definitivo, actualizar el model_id en el plugin adaptador.</w:t>
      </w:r>
    </w:p>
    <w:p/>
    <w:p>
      <w:r>
        <w:br w:type="page"/>
      </w:r>
    </w:p>
    <w:p>
      <w:pPr>
        <w:pStyle w:val="Heading1"/>
        <w:pBdr>
          <w:bottom w:val="single" w:color="C0392B" w:sz="8" w:space="4"/>
        </w:pBdr>
        <w:spacing w:after="160" w:before="360"/>
      </w:pPr>
      <w:r>
        <w:rPr>
          <w:rFonts w:ascii="Arial" w:cs="Arial" w:eastAsia="Arial" w:hAnsi="Arial"/>
          <w:b/>
          <w:bCs/>
          <w:color w:val="C0392B"/>
          <w:sz w:val="36"/>
          <w:szCs w:val="36"/>
        </w:rPr>
        <w:t xml:space="preserve">11. Entregables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5226"/>
      </w:tblGrid>
      <w:tr>
        <w:tc>
          <w:tcPr>
            <w:tcW w:type="dxa" w:w="3800"/>
            <w:tcBorders>
              <w:top w:val="single" w:color="CCCCCC" w:sz="1"/>
              <w:left w:val="single" w:color="CCCCCC" w:sz="1"/>
              <w:bottom w:val="single" w:color="CCCCCC" w:sz="1"/>
              <w:right w:val="single" w:color="CCCCCC" w:sz="1"/>
            </w:tcBorders>
            <w:shd w:fill="4B5C66" w:val="clear"/>
            <w:tcMar>
              <w:top w:type="dxa" w:w="80"/>
              <w:left w:type="dxa" w:w="120"/>
              <w:bottom w:type="dxa" w:w="80"/>
              <w:right w:type="dxa" w:w="120"/>
            </w:tcMar>
          </w:tcPr>
          <w:p>
            <w:r>
              <w:rPr>
                <w:rFonts w:ascii="Arial" w:cs="Arial" w:eastAsia="Arial" w:hAnsi="Arial"/>
                <w:b/>
                <w:bCs/>
                <w:color w:val="FFFFFF"/>
                <w:sz w:val="20"/>
                <w:szCs w:val="20"/>
              </w:rPr>
              <w:t xml:space="preserve">Entregable</w:t>
            </w:r>
          </w:p>
        </w:tc>
        <w:tc>
          <w:tcPr>
            <w:tcW w:type="dxa" w:w="5226"/>
            <w:tcBorders>
              <w:top w:val="single" w:color="CCCCCC" w:sz="1"/>
              <w:left w:val="single" w:color="CCCCCC" w:sz="1"/>
              <w:bottom w:val="single" w:color="CCCCCC" w:sz="1"/>
              <w:right w:val="single" w:color="CCCCCC" w:sz="1"/>
            </w:tcBorders>
            <w:shd w:fill="4B5C66"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ai-engine-digiliencia-adapter.php</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Plugin PHP adaptador WordPress–SCAYLE.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digiliencia-descargar-conversacion.php</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Plugin PHP para descarga de conversaciones en PDF.</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digiliencia-chat.css</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Hoja de estilos completa de la interfaz web.</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Bloque HTML de la página</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Código HTML del chatbot con estilos y JavaScript.</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guia-usuario-cyberseguria.docx</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Guía de usuario dirigida al público general.</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documento-informativo-cyberseguria.docx</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Documento informativo institucional con logos.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memoria-general-cyberseguria.docx</w:t>
            </w:r>
          </w:p>
        </w:tc>
        <w:tc>
          <w:tcPr>
            <w:tcW w:type="dxa" w:w="5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0"/>
                <w:szCs w:val="20"/>
              </w:rPr>
              <w:t xml:space="preserve">Este documento. Descripción técnica del proyecto.</w:t>
            </w:r>
          </w:p>
        </w:tc>
      </w:tr>
    </w:tbl>
    <w:p/>
    <w:p/>
    <w:p>
      <w:pPr>
        <w:pBdr>
          <w:top w:val="single" w:color="C0392B" w:sz="4" w:space="4"/>
        </w:pBdr>
        <w:spacing w:before="400"/>
        <w:jc w:val="center"/>
      </w:pPr>
      <w:r>
        <w:rPr>
          <w:rFonts w:ascii="Arial" w:cs="Arial" w:eastAsia="Arial" w:hAnsi="Arial"/>
          <w:color w:val="888888"/>
          <w:sz w:val="18"/>
          <w:szCs w:val="18"/>
        </w:rPr>
        <w:t xml:space="preserve">CyberSegurIA · Marco Digiliencia · INCIBE · digiliencia.org · Marzo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C0392B"/>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4B5C6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2026-04-08T07:31:28.472Z</dcterms:created>
  <dcterms:modified xsi:type="dcterms:W3CDTF">2026-04-08T07:31:28.473Z</dcterms:modified>
</cp:coreProperties>
</file>

<file path=docProps/custom.xml><?xml version="1.0" encoding="utf-8"?>
<Properties xmlns="http://schemas.openxmlformats.org/officeDocument/2006/custom-properties" xmlns:vt="http://schemas.openxmlformats.org/officeDocument/2006/docPropsVTypes"/>
</file>