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TRIKE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Este documento integra el enfoque Goal–Question–Metric (GQM) con los criterios PRAGMATIC para el conjunto de indicadores propuestos en el informe TRIKE a escala nacional (España) y comparativa internacional. [web:23][web:38][web:39][web:42][web:45]</w:t>
      </w:r>
    </w:p>
    <w:p>
      <w:r>
        <w:t>El objetivo es garantizar la trazabilidad desde los objetivos estratégicos nacionales (p.ej. NIS2, Ley de Coordinación y Gobernanza de la Ciberseguridad) hasta los datos técnicos concretos que se recogen, calculan y reportan. [web:16][web:41][web:44]</w:t>
      </w:r>
    </w:p>
    <w:p>
      <w:pPr>
        <w:pStyle w:val="Heading2"/>
        <w:keepNext/>
        <w:keepLines/>
      </w:pPr>
      <w:r>
        <w:rPr>
          <w:color w:val="0066CC"/>
        </w:rPr>
        <w:t>2. Resumen del enfoque GQM aplicado a TRIKE</w:t>
      </w:r>
    </w:p>
    <w:p>
      <w:pPr>
        <w:pStyle w:val="ListBullet"/>
        <w:keepLines w:val="1"/>
        <w:keepNext w:val="1"/>
        <w:widowControl w:val="1"/>
      </w:pPr>
      <w:r>
        <w:t>Goal (Objetivo): qué se pretende lograr en cada dimensión TRIKE (Threat, Risk, Impact, Knowledge, Evaluation) a nivel país/sector/organización.</w:t>
      </w:r>
    </w:p>
    <w:p>
      <w:pPr>
        <w:pStyle w:val="ListBullet"/>
        <w:keepLines w:val="1"/>
        <w:keepNext w:val="1"/>
        <w:widowControl w:val="1"/>
      </w:pPr>
      <w:r>
        <w:t>Question (Pregunta): qué hay que preguntar para saber si avanzamos hacia ese objetivo.</w:t>
      </w:r>
    </w:p>
    <w:p>
      <w:pPr>
        <w:pStyle w:val="ListBullet"/>
        <w:keepLines w:val="1"/>
        <w:widowControl w:val="1"/>
      </w:pPr>
      <w:r>
        <w:t>Metric (Métrica): qué medimos, de forma concreta y cuantificable, para responder a la pregunta. [web:38]</w:t>
      </w:r>
    </w:p>
    <w:p>
      <w:r>
        <w:t>En este contexto:</w:t>
      </w:r>
    </w:p>
    <w:p>
      <w:pPr>
        <w:pStyle w:val="ListBullet"/>
        <w:keepLines w:val="1"/>
        <w:keepNext w:val="1"/>
        <w:widowControl w:val="1"/>
      </w:pPr>
      <w:r>
        <w:t>Los objetivos se alinean con las obligaciones de gestión de riesgos y resiliencia definidas en NIS2 y la guía técnica de ENISA. [web:23][web:43]</w:t>
      </w:r>
    </w:p>
    <w:p>
      <w:pPr>
        <w:pStyle w:val="ListBullet"/>
        <w:keepLines w:val="1"/>
        <w:keepNext w:val="1"/>
        <w:widowControl w:val="1"/>
      </w:pPr>
      <w:r>
        <w:t>Las preguntas se derivan del informe TRIKE y de las prácticas recomendadas por ENISA e ISACA para programas de ciberseguridad basados en amenazas. [web:14][web:25][web:46]</w:t>
      </w:r>
    </w:p>
    <w:p>
      <w:pPr>
        <w:pStyle w:val="ListBullet"/>
        <w:keepLines w:val="1"/>
        <w:widowControl w:val="1"/>
      </w:pPr>
      <w:r>
        <w:t>Las métricas permiten conectar la macrovisión nacional con la microrealidad técnica (incidentes, vulnerabilidades, tiempos de respuesta, etc.).</w:t>
      </w:r>
    </w:p>
    <w:p>
      <w:pPr>
        <w:pStyle w:val="Heading2"/>
        <w:keepNext/>
        <w:keepLines/>
      </w:pPr>
      <w:r>
        <w:rPr>
          <w:color w:val="0066CC"/>
        </w:rPr>
        <w:t>3. PRAGMATIC: criterios de calidad de las métricas</w:t>
      </w:r>
    </w:p>
    <w:p>
      <w:r>
        <w:t>Los criterios PRAGMATIC (Predictive, Relevant, Actionable, Genuine, Meaningful/Significativo, Accurate/Preciso, Timely/Oportuno, Independent/Independiente, Cheap/Rentable) se utilizan para evaluar la calidad de cada métrica propuesta. [web:39][web:42][web:45][web:47]</w:t>
      </w:r>
    </w:p>
    <w:p>
      <w:r>
        <w:t>Cada métrica se puntúa en una escala de 0 a 5 por criterio, donde:</w:t>
      </w:r>
    </w:p>
    <w:p>
      <w:pPr>
        <w:pStyle w:val="ListBullet"/>
        <w:keepLines w:val="1"/>
        <w:keepNext w:val="1"/>
        <w:widowControl w:val="1"/>
      </w:pPr>
      <w:r>
        <w:t>0 = el criterio no se cumple en la práctica.</w:t>
      </w:r>
    </w:p>
    <w:p>
      <w:pPr>
        <w:pStyle w:val="ListBullet"/>
        <w:keepLines w:val="1"/>
        <w:keepNext w:val="1"/>
        <w:widowControl w:val="1"/>
      </w:pPr>
      <w:r>
        <w:t>1–2 = cumplimiento débil o limitado.</w:t>
      </w:r>
    </w:p>
    <w:p>
      <w:pPr>
        <w:pStyle w:val="ListBullet"/>
        <w:keepLines w:val="1"/>
        <w:keepNext w:val="1"/>
        <w:widowControl w:val="1"/>
      </w:pPr>
      <w:r>
        <w:t>3–4 = cumplimiento razonable / bueno.</w:t>
      </w:r>
    </w:p>
    <w:p>
      <w:pPr>
        <w:pStyle w:val="ListBullet"/>
        <w:keepLines w:val="1"/>
        <w:widowControl w:val="1"/>
      </w:pPr>
      <w:r>
        <w:t>5 = cumplimiento excelente.</w:t>
      </w:r>
    </w:p>
    <w:p>
      <w:r>
        <w:t>La combinación de GQM + PRAGMATIC permite:</w:t>
      </w:r>
    </w:p>
    <w:p>
      <w:pPr>
        <w:pStyle w:val="ListNumber"/>
        <w:keepLines w:val="1"/>
        <w:keepNext w:val="1"/>
        <w:widowControl w:val="1"/>
      </w:pPr>
      <w:r>
        <w:t>Asegurar que no medimos nada que no responda a un objetivo claro.</w:t>
      </w:r>
    </w:p>
    <w:p>
      <w:pPr>
        <w:pStyle w:val="ListNumber"/>
        <w:keepLines w:val="1"/>
        <w:keepNext w:val="1"/>
        <w:widowControl w:val="1"/>
      </w:pPr>
      <w:r>
        <w:t>Priorizar las métricas que realmente aportan valor (alto score PRAGMATIC).</w:t>
      </w:r>
    </w:p>
    <w:p>
      <w:pPr>
        <w:pStyle w:val="ListNumber"/>
        <w:keepLines w:val="1"/>
        <w:widowControl w:val="1"/>
      </w:pPr>
      <w:r>
        <w:t>Evitar proliferación de métricas “baratas pero estériles” que consumen recursos sin mejorar decisiones.</w:t>
      </w:r>
    </w:p>
    <w:p>
      <w:pPr>
        <w:pStyle w:val="Heading2"/>
        <w:keepNext/>
        <w:keepLines/>
      </w:pPr>
      <w:r>
        <w:rPr>
          <w:color w:val="0066CC"/>
        </w:rPr>
        <w:t>4. Objetivos, preguntas y métricas por dimensión TRIKE</w:t>
      </w:r>
    </w:p>
    <w:p>
      <w:r>
        <w:t>A continuación se resumen los principales objetivos GQM y las métricas asociadas para cada dimensión TRIKE. El detalle PRAGMATIC se desarrolla en el documento de Matriz de Evaluación. [web:23][web:38]</w:t>
      </w:r>
    </w:p>
    <w:p>
      <w:pPr>
        <w:pStyle w:val="Heading3"/>
        <w:keepNext/>
        <w:keepLines/>
      </w:pPr>
      <w:r>
        <w:t>4.1 Threat (Amenaza)</w:t>
      </w:r>
    </w:p>
    <w:p>
      <w:r>
        <w:rPr>
          <w:b/>
        </w:rPr>
        <w:t>Goal T1:</w:t>
      </w:r>
      <w:r>
        <w:t xml:space="preserve"> Mejorar el conocimiento y la monitorización de la intensidad y naturaleza de las amenazas que afectan a los sectores esenciales en España, en línea con NIS2 y los informes de amenaza europeos. [web:23][web:43][web:46]</w:t>
      </w:r>
    </w:p>
    <w:p>
      <w:pPr>
        <w:pStyle w:val="ListBullet"/>
        <w:keepLines w:val="1"/>
        <w:keepNext w:val="1"/>
        <w:widowControl w:val="1"/>
      </w:pPr>
      <w:r>
        <w:t>Question T1.1: ¿Cuál es la frecuencia y distribución de incidentes de ciberseguridad en España por sector y tamaño de organización?</w:t>
      </w:r>
    </w:p>
    <w:p>
      <w:pPr>
        <w:pStyle w:val="ListBullet"/>
        <w:keepLines w:val="1"/>
        <w:keepNext w:val="1"/>
        <w:widowControl w:val="1"/>
      </w:pPr>
      <w:r>
        <w:t>Metric T1.1.a: Número de incidentes de ciberseguridad por 100.000 habitantes y por sector crítico, según datos de INCIBE, CCN-CERT y otros CSIRTs sectoriales. [web:22][web:46]</w:t>
      </w:r>
    </w:p>
    <w:p>
      <w:pPr>
        <w:pStyle w:val="ListBullet"/>
        <w:keepLines w:val="1"/>
        <w:keepNext w:val="1"/>
        <w:widowControl w:val="1"/>
      </w:pPr>
      <w:r>
        <w:br/>
        <w:t>Metric T1.1.b: Número de incidentes significativos reportados en el marco NIS2 por tipo de entidad esencial/importante. [web:23][web:44]</w:t>
        <w:br/>
      </w:r>
    </w:p>
    <w:p>
      <w:pPr>
        <w:pStyle w:val="ListBullet"/>
        <w:keepLines w:val="1"/>
        <w:keepNext w:val="1"/>
        <w:widowControl w:val="1"/>
      </w:pPr>
      <w:r>
        <w:br/>
        <w:t>Question T1.2: ¿Cuál es el peso relativo de distintos tipos de amenazas (APT, ransomware, ataques sin malware, etc.)?</w:t>
        <w:br/>
      </w:r>
    </w:p>
    <w:p>
      <w:pPr>
        <w:pStyle w:val="ListBullet"/>
        <w:keepLines w:val="1"/>
        <w:keepNext w:val="1"/>
        <w:widowControl w:val="1"/>
      </w:pPr>
      <w:r>
        <w:t>Metric T1.2.a: Porcentaje de incidentes atribuidos a actores avanzados (APT, eCrime organizado) frente a amenazas oportunistas. [web:13][web:46]</w:t>
      </w:r>
    </w:p>
    <w:p>
      <w:pPr>
        <w:pStyle w:val="ListBullet"/>
        <w:keepLines w:val="1"/>
        <w:keepNext w:val="1"/>
        <w:widowControl w:val="1"/>
      </w:pPr>
      <w:r>
        <w:br/>
        <w:t>Metric T1.2.b: Porcentaje de detecciones “malware-free” y ataques asistidos por IA sobre el total de incidentes detectados en el periodo. [web:13][web:46]</w:t>
        <w:br/>
      </w:r>
    </w:p>
    <w:p>
      <w:pPr>
        <w:pStyle w:val="ListBullet"/>
        <w:keepLines w:val="1"/>
        <w:keepNext w:val="1"/>
        <w:widowControl w:val="1"/>
      </w:pPr>
      <w:r>
        <w:br/>
        <w:t>Question T1.3: ¿En qué medida se explota la cadena de suministro y los servicios cloud como vectores de ataque?</w:t>
        <w:br/>
      </w:r>
    </w:p>
    <w:p>
      <w:pPr>
        <w:pStyle w:val="ListBullet"/>
        <w:keepLines w:val="1"/>
        <w:keepNext w:val="1"/>
        <w:widowControl w:val="1"/>
      </w:pPr>
      <w:r>
        <w:t>Metric T1.3.a: Número de incidentes derivados de proveedores de servicios esenciales (cloud, telecomunicaciones, SaaS) por año. [web:23][web:43]</w:t>
      </w:r>
    </w:p>
    <w:p>
      <w:pPr>
        <w:pStyle w:val="ListBullet"/>
        <w:keepLines w:val="1"/>
        <w:widowControl w:val="1"/>
      </w:pPr>
      <w:r>
        <w:t>Metric T1.3.b: Porcentaje de vulnerabilidades explotadas relacionadas con cadena de suministro software (incluyendo componentes de terceros y dependencias de código). [web:23][web:46]</w:t>
      </w:r>
    </w:p>
    <w:p>
      <w:r>
        <w:rPr>
          <w:b/>
        </w:rPr>
        <w:t>Metric T1.1.b:</w:t>
      </w:r>
      <w:r>
        <w:t xml:space="preserve"> Número de incidentes significativos reportados en el marco NIS2 por tipo de entidad esencial/importante. [web:23][web:44]</w:t>
      </w:r>
    </w:p>
    <w:p>
      <w:r>
        <w:rPr>
          <w:b/>
        </w:rPr>
        <w:t>Question T1.2:</w:t>
      </w:r>
      <w:r>
        <w:t xml:space="preserve"> ¿Cuál es el peso relativo de distintos tipos de amenazas (APT, ransomware, ataques sin malware, etc.)?</w:t>
      </w:r>
    </w:p>
    <w:p>
      <w:r>
        <w:rPr>
          <w:b/>
        </w:rPr>
        <w:t>Metric T1.2.b:</w:t>
      </w:r>
      <w:r>
        <w:t xml:space="preserve"> Porcentaje de detecciones “malware-free” y ataques asistidos por IA sobre el total de incidentes detectados en el periodo. [web:13][web:46]</w:t>
      </w:r>
    </w:p>
    <w:p>
      <w:r>
        <w:rPr>
          <w:b/>
        </w:rPr>
        <w:t>Question T1.3:</w:t>
      </w:r>
      <w:r>
        <w:t xml:space="preserve"> ¿En qué medida se explota la cadena de suministro y los servicios cloud como vectores de ataque?</w:t>
      </w:r>
    </w:p>
    <w:p>
      <w:pPr>
        <w:pStyle w:val="Heading3"/>
        <w:keepNext/>
        <w:keepLines/>
      </w:pPr>
      <w:r>
        <w:t>4.2 Risk (Riesgo)</w:t>
      </w:r>
    </w:p>
    <w:p>
      <w:r>
        <w:rPr>
          <w:b/>
        </w:rPr>
        <w:t>Goal R1:</w:t>
      </w:r>
      <w:r>
        <w:t xml:space="preserve"> Asegurar que los riesgos de ciberseguridad se cuantifican y gestionan de forma consistente con NIS2, integrando probabilidades, impactos económicos y criterios de apetito de riesgo. [web:23][web:16]</w:t>
      </w:r>
    </w:p>
    <w:p>
      <w:pPr>
        <w:pStyle w:val="ListBullet"/>
        <w:keepLines w:val="1"/>
        <w:keepNext w:val="1"/>
        <w:widowControl w:val="1"/>
      </w:pPr>
      <w:r>
        <w:t>Question R1.1: ¿Cuál es el riesgo económico anual esperado derivado de ciberincidentes por sector?</w:t>
      </w:r>
    </w:p>
    <w:p>
      <w:pPr>
        <w:pStyle w:val="ListBullet"/>
        <w:keepLines w:val="1"/>
        <w:keepNext w:val="1"/>
        <w:widowControl w:val="1"/>
      </w:pPr>
      <w:r>
        <w:br/>
        <w:t>Metric R1.1.a: Pérdida económica anual esperada (en euros) por cada 1.000 millones de valor añadido sectorial (basada en frecuencia e impacto de incidentes). [web:16][web:23]</w:t>
        <w:br/>
      </w:r>
    </w:p>
    <w:p>
      <w:pPr>
        <w:pStyle w:val="ListBullet"/>
        <w:keepLines w:val="1"/>
        <w:keepNext w:val="1"/>
        <w:widowControl w:val="1"/>
      </w:pPr>
      <w:r>
        <w:br/>
        <w:t>Question R1.2: ¿Hasta qué punto se integra el análisis de riesgo en la definición de presupuestos y medidas de seguridad?</w:t>
        <w:br/>
      </w:r>
    </w:p>
    <w:p>
      <w:pPr>
        <w:pStyle w:val="ListBullet"/>
        <w:keepLines w:val="1"/>
        <w:keepNext w:val="1"/>
        <w:widowControl w:val="1"/>
      </w:pPr>
      <w:r>
        <w:br/>
        <w:t>Metric R1.2.a: Porcentaje de entidades que reportan utilizar métricas de riesgo cuantitativo (FAIR u otros) para decisiones de inversión. [web:25]</w:t>
        <w:br/>
      </w:r>
    </w:p>
    <w:p>
      <w:pPr>
        <w:pStyle w:val="ListBullet"/>
        <w:keepLines w:val="1"/>
        <w:keepNext w:val="1"/>
        <w:widowControl w:val="1"/>
      </w:pPr>
      <w:r>
        <w:br/>
        <w:t>Question R1.3: ¿Cómo se distribuye el riesgo entre pymes, grandes empresas y sector público?</w:t>
        <w:br/>
      </w:r>
    </w:p>
    <w:p>
      <w:pPr>
        <w:pStyle w:val="ListBullet"/>
        <w:keepLines w:val="1"/>
        <w:keepNext w:val="1"/>
        <w:widowControl w:val="1"/>
      </w:pPr>
      <w:r>
        <w:t>Metric R1.3.a: Ratio incidentes significativos / número de entidades por categoría. [web:16][web:22]</w:t>
      </w:r>
    </w:p>
    <w:p>
      <w:pPr>
        <w:pStyle w:val="ListBullet"/>
        <w:keepLines w:val="1"/>
        <w:widowControl w:val="1"/>
      </w:pPr>
      <w:r>
        <w:t>Metric R1.3.b: Estimación de pérdida media por incidente por tipo de entidad. [web:22]</w:t>
      </w:r>
    </w:p>
    <w:p>
      <w:r>
        <w:rPr>
          <w:b/>
        </w:rPr>
        <w:t>Metric R1.1.a:</w:t>
      </w:r>
      <w:r>
        <w:t xml:space="preserve"> Pérdida económica anual esperada (en euros) por cada 1.000 millones de valor añadido sectorial (basada en frecuencia e impacto de incidentes). [web:16][web:23]</w:t>
      </w:r>
    </w:p>
    <w:p>
      <w:r>
        <w:rPr>
          <w:b/>
        </w:rPr>
        <w:t>Question R1.2:</w:t>
      </w:r>
      <w:r>
        <w:t xml:space="preserve"> ¿Hasta qué punto se integra el análisis de riesgo en la definición de presupuestos y medidas de seguridad?</w:t>
      </w:r>
    </w:p>
    <w:p>
      <w:r>
        <w:rPr>
          <w:b/>
        </w:rPr>
        <w:t>Metric R1.2.a:</w:t>
      </w:r>
      <w:r>
        <w:t xml:space="preserve"> Porcentaje de entidades que reportan utilizar métricas de riesgo cuantitativo (FAIR u otros) para decisiones de inversión. [web:25]</w:t>
      </w:r>
    </w:p>
    <w:p>
      <w:r>
        <w:rPr>
          <w:b/>
        </w:rPr>
        <w:t>Question R1.3:</w:t>
      </w:r>
      <w:r>
        <w:t xml:space="preserve"> ¿Cómo se distribuye el riesgo entre pymes, grandes empresas y sector público?</w:t>
      </w:r>
    </w:p>
    <w:p>
      <w:pPr>
        <w:pStyle w:val="Heading3"/>
        <w:keepNext/>
        <w:keepLines/>
      </w:pPr>
      <w:r>
        <w:t>4.3 Impact (Impacto)</w:t>
      </w:r>
    </w:p>
    <w:p>
      <w:r>
        <w:rPr>
          <w:b/>
        </w:rPr>
        <w:t>Goal I1:</w:t>
      </w:r>
      <w:r>
        <w:t xml:space="preserve"> Comprender el impacto operacional, económico y social de los incidentes para orientar la resiliencia y la continuidad de negocio a nivel nacional. [web:23][web:16]</w:t>
      </w:r>
    </w:p>
    <w:p>
      <w:pPr>
        <w:pStyle w:val="ListBullet"/>
        <w:keepLines w:val="1"/>
        <w:keepNext w:val="1"/>
        <w:widowControl w:val="1"/>
      </w:pPr>
      <w:r>
        <w:t>Question I1.1: ¿Cuál es la duración típica de interrupciones en servicios esenciales por incidente significativo?</w:t>
      </w:r>
    </w:p>
    <w:p>
      <w:pPr>
        <w:pStyle w:val="ListBullet"/>
        <w:keepLines w:val="1"/>
        <w:keepNext w:val="1"/>
        <w:widowControl w:val="1"/>
      </w:pPr>
      <w:r>
        <w:br/>
        <w:t>Metric I1.1.a: Duración media (y máxima) de la indisponibilidad de servicios críticos, en horas. [web:23]</w:t>
        <w:br/>
      </w:r>
    </w:p>
    <w:p>
      <w:pPr>
        <w:pStyle w:val="ListBullet"/>
        <w:keepLines w:val="1"/>
        <w:keepNext w:val="1"/>
        <w:widowControl w:val="1"/>
      </w:pPr>
      <w:r>
        <w:br/>
        <w:t>Question I1.2: ¿Cuál es la magnitud económica del impacto de los incidentes?</w:t>
        <w:br/>
      </w:r>
    </w:p>
    <w:p>
      <w:pPr>
        <w:pStyle w:val="ListBullet"/>
        <w:keepLines w:val="1"/>
        <w:keepNext w:val="1"/>
        <w:widowControl w:val="1"/>
      </w:pPr>
      <w:r>
        <w:t>Metric I1.2.a: Coste económico medio de incidentes significativos por sector. [web:22]</w:t>
      </w:r>
    </w:p>
    <w:p>
      <w:pPr>
        <w:pStyle w:val="ListBullet"/>
        <w:keepLines w:val="1"/>
        <w:keepNext w:val="1"/>
        <w:widowControl w:val="1"/>
      </w:pPr>
      <w:r>
        <w:br/>
        <w:t>Metric I1.2.b: Percentiles de impacto (p.ej. P90, P95) para incidentes graves. [web:23]</w:t>
        <w:br/>
      </w:r>
    </w:p>
    <w:p>
      <w:pPr>
        <w:pStyle w:val="ListBullet"/>
        <w:keepLines w:val="1"/>
        <w:keepNext w:val="1"/>
        <w:widowControl w:val="1"/>
      </w:pPr>
      <w:r>
        <w:br/>
        <w:t>Question I1.3: ¿Cuál es el impacto social y reputacional agregado?</w:t>
        <w:br/>
      </w:r>
    </w:p>
    <w:p>
      <w:pPr>
        <w:pStyle w:val="ListBullet"/>
        <w:keepLines w:val="1"/>
        <w:keepNext w:val="1"/>
        <w:widowControl w:val="1"/>
      </w:pPr>
      <w:r>
        <w:t>Metric I1.3.a: Número de usuarios/ciudadanos afectados por incidentes reportados (por sector). [web:22]</w:t>
      </w:r>
    </w:p>
    <w:p>
      <w:pPr>
        <w:pStyle w:val="ListBullet"/>
        <w:keepLines w:val="1"/>
        <w:widowControl w:val="1"/>
      </w:pPr>
      <w:r>
        <w:t>Metric I1.3.b: Número de sanciones regulatorias y su cuantía anual (NIS2, RGPD, sectoriales). [web:44]</w:t>
      </w:r>
    </w:p>
    <w:p>
      <w:r>
        <w:rPr>
          <w:b/>
        </w:rPr>
        <w:t>Metric I1.1.a:</w:t>
      </w:r>
      <w:r>
        <w:t xml:space="preserve"> Duración media (y máxima) de la indisponibilidad de servicios críticos, en horas. [web:23]</w:t>
      </w:r>
    </w:p>
    <w:p>
      <w:r>
        <w:rPr>
          <w:b/>
        </w:rPr>
        <w:t>Question I1.2:</w:t>
      </w:r>
      <w:r>
        <w:t xml:space="preserve"> ¿Cuál es la magnitud económica del impacto de los incidentes?</w:t>
      </w:r>
    </w:p>
    <w:p>
      <w:r>
        <w:rPr>
          <w:b/>
        </w:rPr>
        <w:t>Metric I1.2.b:</w:t>
      </w:r>
      <w:r>
        <w:t xml:space="preserve"> Percentiles de impacto (p.ej. P90, P95) para incidentes graves. [web:23]</w:t>
      </w:r>
    </w:p>
    <w:p>
      <w:r>
        <w:rPr>
          <w:b/>
        </w:rPr>
        <w:t>Question I1.3:</w:t>
      </w:r>
      <w:r>
        <w:t xml:space="preserve"> ¿Cuál es el impacto social y reputacional agregado?</w:t>
      </w:r>
    </w:p>
    <w:p>
      <w:pPr>
        <w:pStyle w:val="Heading3"/>
        <w:keepNext/>
        <w:keepLines/>
      </w:pPr>
      <w:r>
        <w:t>4.4 Knowledge (Conocimiento)</w:t>
      </w:r>
    </w:p>
    <w:p>
      <w:r>
        <w:rPr>
          <w:b/>
        </w:rPr>
        <w:t>Goal K1:</w:t>
      </w:r>
      <w:r>
        <w:t xml:space="preserve"> Incrementar la capacidad del país para generar, compartir y utilizar inteligencia de amenazas, lecciones aprendidas y talento especializado. [web:16][web:25][web:40]</w:t>
      </w:r>
    </w:p>
    <w:p>
      <w:pPr>
        <w:pStyle w:val="ListBullet"/>
        <w:keepLines w:val="1"/>
        <w:keepNext w:val="1"/>
        <w:widowControl w:val="1"/>
      </w:pPr>
      <w:r>
        <w:t>Question K1.1: ¿Cuál es el nivel de implantación de programas de inteligencia de amenazas?</w:t>
      </w:r>
    </w:p>
    <w:p>
      <w:pPr>
        <w:pStyle w:val="ListBullet"/>
        <w:keepLines w:val="1"/>
        <w:keepNext w:val="1"/>
        <w:widowControl w:val="1"/>
      </w:pPr>
      <w:r>
        <w:br/>
        <w:t>Metric K1.1.a: Porcentaje de entidades esenciales/importantes que declaran disponer de un programa formal de threat intelligence (propio o de terceros). [web:25][web:40]</w:t>
        <w:br/>
      </w:r>
    </w:p>
    <w:p>
      <w:pPr>
        <w:pStyle w:val="ListBullet"/>
        <w:keepLines w:val="1"/>
        <w:keepNext w:val="1"/>
        <w:widowControl w:val="1"/>
      </w:pPr>
      <w:r>
        <w:br/>
        <w:t>Question K1.2: ¿En qué medida se documentan y reutilizan las lecciones aprendidas?</w:t>
        <w:br/>
      </w:r>
    </w:p>
    <w:p>
      <w:pPr>
        <w:pStyle w:val="ListBullet"/>
        <w:keepLines w:val="1"/>
        <w:keepNext w:val="1"/>
        <w:widowControl w:val="1"/>
      </w:pPr>
      <w:r>
        <w:br/>
        <w:t>Metric K1.2.a: Porcentaje de incidentes significativos que generan un informe post-mortem formal (lecciones aprendidas, acciones de mejora). [web:25][web:23]</w:t>
        <w:br/>
      </w:r>
    </w:p>
    <w:p>
      <w:pPr>
        <w:pStyle w:val="ListBullet"/>
        <w:keepLines w:val="1"/>
        <w:keepNext w:val="1"/>
        <w:widowControl w:val="1"/>
      </w:pPr>
      <w:r>
        <w:br/>
        <w:t>Question K1.3: ¿Cuál es la disponibilidad de talento en ciberseguridad?</w:t>
        <w:br/>
      </w:r>
    </w:p>
    <w:p>
      <w:pPr>
        <w:pStyle w:val="ListBullet"/>
        <w:keepLines w:val="1"/>
        <w:keepNext w:val="1"/>
        <w:widowControl w:val="1"/>
      </w:pPr>
      <w:r>
        <w:t>Metric K1.3.a: Número de profesionales de ciberseguridad certificados por 100.000 habitantes. [web:16]</w:t>
      </w:r>
    </w:p>
    <w:p>
      <w:pPr>
        <w:pStyle w:val="ListBullet"/>
        <w:keepLines w:val="1"/>
        <w:widowControl w:val="1"/>
      </w:pPr>
      <w:r>
        <w:t>Metric K1.3.b: Ratio vacantes abiertas / puestos cubiertos en roles críticos de ciberseguridad según ECSF. [web:40]</w:t>
      </w:r>
    </w:p>
    <w:p>
      <w:r>
        <w:rPr>
          <w:b/>
        </w:rPr>
        <w:t>Metric K1.1.a:</w:t>
      </w:r>
      <w:r>
        <w:t xml:space="preserve"> Porcentaje de entidades esenciales/importantes que declaran disponer de un programa formal de threat intelligence (propio o de terceros). [web:25][web:40]</w:t>
      </w:r>
    </w:p>
    <w:p>
      <w:r>
        <w:rPr>
          <w:b/>
        </w:rPr>
        <w:t>Question K1.2:</w:t>
      </w:r>
      <w:r>
        <w:t xml:space="preserve"> ¿En qué medida se documentan y reutilizan las lecciones aprendidas?</w:t>
      </w:r>
    </w:p>
    <w:p>
      <w:r>
        <w:rPr>
          <w:b/>
        </w:rPr>
        <w:t>Metric K1.2.a:</w:t>
      </w:r>
      <w:r>
        <w:t xml:space="preserve"> Porcentaje de incidentes significativos que generan un informe post-mortem formal (lecciones aprendidas, acciones de mejora). [web:25][web:23]</w:t>
      </w:r>
    </w:p>
    <w:p>
      <w:r>
        <w:rPr>
          <w:b/>
        </w:rPr>
        <w:t>Question K1.3:</w:t>
      </w:r>
      <w:r>
        <w:t xml:space="preserve"> ¿Cuál es la disponibilidad de talento en ciberseguridad?</w:t>
      </w:r>
    </w:p>
    <w:p>
      <w:pPr>
        <w:pStyle w:val="Heading3"/>
        <w:keepNext/>
        <w:keepLines/>
      </w:pPr>
      <w:r>
        <w:t>4.5 Evaluation (Evaluación)</w:t>
      </w:r>
    </w:p>
    <w:p>
      <w:r>
        <w:rPr>
          <w:b/>
        </w:rPr>
        <w:t>Goal E1:</w:t>
      </w:r>
      <w:r>
        <w:t xml:space="preserve"> Garantizar que las medidas de seguridad se evalúan y mejoran continuamente, alineadas con los requisitos de supervisión y cumplimiento de NIS2. [web:23][web:43]</w:t>
      </w:r>
    </w:p>
    <w:p>
      <w:pPr>
        <w:pStyle w:val="ListBullet"/>
        <w:keepLines w:val="1"/>
        <w:keepNext w:val="1"/>
        <w:widowControl w:val="1"/>
      </w:pPr>
      <w:r>
        <w:t>Question E1.1: ¿Con qué frecuencia y profundidad se evalúan los controles de seguridad y los modelos de riesgo?</w:t>
      </w:r>
    </w:p>
    <w:p>
      <w:pPr>
        <w:pStyle w:val="ListBullet"/>
        <w:keepLines w:val="1"/>
        <w:keepNext w:val="1"/>
        <w:widowControl w:val="1"/>
      </w:pPr>
      <w:r>
        <w:br/>
        <w:t>Metric E1.1.a: Porcentaje de entidades que realizan revisiones al menos anuales de modelos de amenaza y controles clave. [web:23][web:43]</w:t>
        <w:br/>
      </w:r>
    </w:p>
    <w:p>
      <w:pPr>
        <w:pStyle w:val="ListBullet"/>
        <w:keepLines w:val="1"/>
        <w:keepNext w:val="1"/>
        <w:widowControl w:val="1"/>
      </w:pPr>
      <w:r>
        <w:br/>
        <w:t>Question E1.2: ¿Hasta qué punto se cumplen los requisitos de NIS2 y su transposición española?</w:t>
        <w:br/>
      </w:r>
    </w:p>
    <w:p>
      <w:pPr>
        <w:pStyle w:val="ListBullet"/>
        <w:keepLines w:val="1"/>
        <w:keepNext w:val="1"/>
        <w:widowControl w:val="1"/>
      </w:pPr>
      <w:r>
        <w:t>Metric E1.2.a: Porcentaje de entidades que declaran alto grado de alineamiento con las medidas de gestión de riesgos exigidas por NIS2. [web:17][web:44]</w:t>
      </w:r>
    </w:p>
    <w:p>
      <w:pPr>
        <w:pStyle w:val="ListBullet"/>
        <w:keepLines w:val="1"/>
        <w:keepNext w:val="1"/>
        <w:widowControl w:val="1"/>
      </w:pPr>
      <w:r>
        <w:br/>
        <w:t>Metric E1.2.b: Número de hallazgos de supervisión/auditoría por categoría (gobernanza, gestión de incidentes, cadena de suministro, etc.). [web:43][web:44]</w:t>
        <w:br/>
      </w:r>
    </w:p>
    <w:p>
      <w:pPr>
        <w:pStyle w:val="ListBullet"/>
        <w:keepLines w:val="1"/>
        <w:keepNext w:val="1"/>
        <w:widowControl w:val="1"/>
      </w:pPr>
      <w:r>
        <w:br/>
        <w:t>Question E1.3: ¿Se utilizan los resultados de evaluación para reorientar recursos y prioridades?</w:t>
        <w:br/>
      </w:r>
    </w:p>
    <w:p>
      <w:pPr>
        <w:pStyle w:val="ListBullet"/>
        <w:keepLines w:val="1"/>
        <w:widowControl w:val="1"/>
      </w:pPr>
      <w:r>
        <w:t>Metric E1.3.a: Porcentaje de entidades que vinculan explícitamente resultados de auditoría/supervisión a cambios presupuestarios y de roadmap de seguridad. [web:16][web:41]</w:t>
      </w:r>
    </w:p>
    <w:p>
      <w:r>
        <w:rPr>
          <w:b/>
        </w:rPr>
        <w:t>Metric E1.1.a:</w:t>
      </w:r>
      <w:r>
        <w:t xml:space="preserve"> Porcentaje de entidades que realizan revisiones al menos anuales de modelos de amenaza y controles clave. [web:23][web:43]</w:t>
      </w:r>
    </w:p>
    <w:p>
      <w:r>
        <w:rPr>
          <w:b/>
        </w:rPr>
        <w:t>Question E1.2:</w:t>
      </w:r>
      <w:r>
        <w:t xml:space="preserve"> ¿Hasta qué punto se cumplen los requisitos de NIS2 y su transposición española?</w:t>
      </w:r>
    </w:p>
    <w:p>
      <w:r>
        <w:rPr>
          <w:b/>
        </w:rPr>
        <w:t>Metric E1.2.b:</w:t>
      </w:r>
      <w:r>
        <w:t xml:space="preserve"> Número de hallazgos de supervisión/auditoría por categoría (gobernanza, gestión de incidentes, cadena de suministro, etc.). [web:43][web:44]</w:t>
      </w:r>
    </w:p>
    <w:p>
      <w:r>
        <w:rPr>
          <w:b/>
        </w:rPr>
        <w:t>Question E1.3:</w:t>
      </w:r>
      <w:r>
        <w:t xml:space="preserve"> ¿Se utilizan los resultados de evaluación para reorientar recursos y prioridades?</w:t>
      </w:r>
    </w:p>
    <w:p>
      <w:pPr>
        <w:pStyle w:val="Heading2"/>
        <w:keepNext/>
        <w:keepLines/>
      </w:pPr>
      <w:r>
        <w:rPr>
          <w:color w:val="0066CC"/>
        </w:rPr>
        <w:t>5. Integración en el ciclo TRIKE nacional</w:t>
      </w:r>
    </w:p>
    <w:p>
      <w:r>
        <w:t>Cada métrica propuesta puede recogerse mediante encuestas (autodeclaración), datos administrativos (INCIBE, CCN-CERT, autoridades competentes) y estudios de mercado. [web:16][web:22][web:46]</w:t>
      </w:r>
    </w:p>
    <w:p>
      <w:r>
        <w:t>El ciclo recomendado es:</w:t>
      </w:r>
    </w:p>
    <w:p>
      <w:pPr>
        <w:pStyle w:val="ListNumber"/>
        <w:keepLines w:val="1"/>
        <w:keepNext w:val="1"/>
        <w:widowControl w:val="1"/>
      </w:pPr>
      <w:r>
        <w:t>Definir objetivos nacionales y sectoriales (Goals).</w:t>
      </w:r>
    </w:p>
    <w:p>
      <w:pPr>
        <w:pStyle w:val="ListNumber"/>
        <w:keepLines w:val="1"/>
        <w:keepNext w:val="1"/>
        <w:widowControl w:val="1"/>
      </w:pPr>
      <w:r>
        <w:t>Formular preguntas operativas que permitan evaluar el avance (Questions).</w:t>
      </w:r>
    </w:p>
    <w:p>
      <w:pPr>
        <w:pStyle w:val="ListNumber"/>
        <w:keepLines w:val="1"/>
        <w:keepNext w:val="1"/>
        <w:widowControl w:val="1"/>
      </w:pPr>
      <w:r>
        <w:t>Seleccionar métricas con alto valor PRAGMATIC (Metrics).</w:t>
      </w:r>
    </w:p>
    <w:p>
      <w:pPr>
        <w:pStyle w:val="ListNumber"/>
        <w:keepLines w:val="1"/>
        <w:keepNext w:val="1"/>
        <w:widowControl w:val="1"/>
      </w:pPr>
      <w:r>
        <w:t>Recoger y consolidar datos anualmente.</w:t>
      </w:r>
    </w:p>
    <w:p>
      <w:pPr>
        <w:pStyle w:val="ListNumber"/>
        <w:keepLines w:val="1"/>
        <w:widowControl w:val="1"/>
      </w:pPr>
      <w:r>
        <w:t>Revisar el set de métricas cada 2–3 años a la luz de nuevas amenazas, regulaciones y capacidades.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