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TRIKE</w:t>
      </w:r>
    </w:p>
    <w:p>
      <w:pPr>
        <w:pStyle w:val="Heading2"/>
        <w:keepNext/>
        <w:keepLines/>
      </w:pPr>
      <w:r>
        <w:rPr>
          <w:color w:val="0066CC"/>
        </w:rPr>
        <w:t>Diseño, aplicación e interpretación de resultados</w:t>
      </w:r>
    </w:p>
    <w:p>
      <w:pPr>
        <w:pStyle w:val="Heading3"/>
        <w:keepNext/>
        <w:keepLines/>
      </w:pPr>
      <w:r>
        <w:t>1. Propósito de la encuesta</w:t>
      </w:r>
    </w:p>
    <w:p>
      <w:r>
        <w:t>La presente encuesta tiene como objetivo medir, de manera estructurada y comparativa, el grado de desarrollo de prácticas de ciberseguridad en organizaciones españolas bajo el prisma TRIKE: Threat, Risk, Impact, Knowledge y Evaluation. [web:16][web:20][web:23][web:14]</w:t>
      </w:r>
    </w:p>
    <w:p>
      <w:r>
        <w:t>Se persigue:</w:t>
      </w:r>
    </w:p>
    <w:p>
      <w:pPr>
        <w:pStyle w:val="ListNumber"/>
        <w:keepLines w:val="1"/>
        <w:keepNext w:val="1"/>
        <w:widowControl w:val="1"/>
      </w:pPr>
      <w:r>
        <w:t>Obtener una línea base de madurez en gestión de amenazas y riesgos alineada con NIS2, el marco nacional y las recomendaciones de organismos europeos. [web:17][web:20][web:23]</w:t>
      </w:r>
    </w:p>
    <w:p>
      <w:pPr>
        <w:pStyle w:val="ListNumber"/>
        <w:keepLines w:val="1"/>
        <w:keepNext w:val="1"/>
        <w:widowControl w:val="1"/>
      </w:pPr>
      <w:r>
        <w:t>Identificar brechas entre las expectativas regulatorias y la realidad de las prácticas organizativas. [web:18][web:23]</w:t>
      </w:r>
    </w:p>
    <w:p>
      <w:pPr>
        <w:pStyle w:val="ListNumber"/>
        <w:keepLines w:val="1"/>
        <w:widowControl w:val="1"/>
      </w:pPr>
      <w:r>
        <w:t>Facilitar comparativas sectoriales y territoriales (benchmarking) útiles para políticas públicas, estrategias corporativas y priorización de inversiones. [web:16][web:22]</w:t>
      </w:r>
    </w:p>
    <w:p>
      <w:pPr>
        <w:pStyle w:val="Heading3"/>
        <w:keepNext/>
        <w:keepLines/>
      </w:pPr>
      <w:r>
        <w:t>2. Marco conceptual: TRIKE y entorno regulatorio</w:t>
      </w:r>
    </w:p>
    <w:p>
      <w:r>
        <w:t>El marco TRIKE se utiliza aquí como prisma estructurador, aun cuando las organizaciones encuestadas no utilicen TRIKE explícitamente. [web:14][web:21]</w:t>
      </w:r>
      <w:r/>
      <w:r>
        <w:br/>
        <w:t>Cada dimensión se vincula con obligaciones de gestión del riesgo y resiliencia recogidas en NIS2, la transposición española y guías técnicas de ENISA. [web:17][web:20][web:23]</w:t>
      </w:r>
    </w:p>
    <w:p>
      <w:pPr>
        <w:pStyle w:val="ListBullet"/>
        <w:keepLines w:val="1"/>
        <w:keepNext w:val="1"/>
        <w:widowControl w:val="1"/>
      </w:pPr>
      <w:r>
        <w:t>Threat: exposición a amenazas y madurez en modelado de amenazas.</w:t>
      </w:r>
    </w:p>
    <w:p>
      <w:pPr>
        <w:pStyle w:val="ListBullet"/>
        <w:keepLines w:val="1"/>
        <w:keepNext w:val="1"/>
        <w:widowControl w:val="1"/>
      </w:pPr>
      <w:r>
        <w:t>Risk: sistemas de gestión y cuantificación del riesgo.</w:t>
      </w:r>
    </w:p>
    <w:p>
      <w:pPr>
        <w:pStyle w:val="ListBullet"/>
        <w:keepLines w:val="1"/>
        <w:keepNext w:val="1"/>
        <w:widowControl w:val="1"/>
      </w:pPr>
      <w:r>
        <w:t>Impact: capacidad de medir y clasificar consecuencias de incidentes.</w:t>
      </w:r>
    </w:p>
    <w:p>
      <w:pPr>
        <w:pStyle w:val="ListBullet"/>
        <w:keepLines w:val="1"/>
        <w:keepNext w:val="1"/>
        <w:widowControl w:val="1"/>
      </w:pPr>
      <w:r>
        <w:t>Knowledge: inteligencia, formación, cultura y aprendizaje organizativo.</w:t>
      </w:r>
    </w:p>
    <w:p>
      <w:pPr>
        <w:pStyle w:val="ListBullet"/>
        <w:keepLines w:val="1"/>
        <w:widowControl w:val="1"/>
      </w:pPr>
      <w:r>
        <w:t>Evaluation: mecanismos de revisión, auditoría y mejora continua.</w:t>
      </w:r>
    </w:p>
    <w:p>
      <w:pPr>
        <w:pStyle w:val="Heading3"/>
        <w:keepNext/>
        <w:keepLines/>
      </w:pPr>
      <w:r>
        <w:t>3. Población objetivo y muestreo</w:t>
      </w:r>
    </w:p>
    <w:p>
      <w:r>
        <w:t>La encuesta está pensada para:</w:t>
      </w:r>
    </w:p>
    <w:p>
      <w:pPr>
        <w:pStyle w:val="ListBullet"/>
        <w:keepLines w:val="1"/>
        <w:keepNext w:val="1"/>
        <w:widowControl w:val="1"/>
      </w:pPr>
      <w:r>
        <w:t>Organizaciones cubiertas por NIS2 (entidades esenciales e importantes) y su transposición en España. [web:17][web:20]</w:t>
      </w:r>
    </w:p>
    <w:p>
      <w:pPr>
        <w:pStyle w:val="ListBullet"/>
        <w:keepLines w:val="1"/>
        <w:keepNext w:val="1"/>
        <w:widowControl w:val="1"/>
      </w:pPr>
      <w:r>
        <w:t>Organizaciones no cubiertas pero que adopten estándares de referencia (ENS, ISO 27001, etc.).</w:t>
      </w:r>
    </w:p>
    <w:p>
      <w:pPr>
        <w:pStyle w:val="ListBullet"/>
        <w:keepLines w:val="1"/>
        <w:widowControl w:val="1"/>
      </w:pPr>
      <w:r>
        <w:t>Pymes con rol relevante en cadenas de suministro críticas o servicios digitales.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>Un muestreo estratificado por sector (sanidad, energía, administración pública, etc.), tamaño y rol regulatorio.</w:t>
      </w:r>
    </w:p>
    <w:p>
      <w:pPr>
        <w:pStyle w:val="ListBullet"/>
        <w:keepLines w:val="1"/>
        <w:widowControl w:val="1"/>
      </w:pPr>
      <w:r>
        <w:t>Garantizar un mínimo de respuestas por estrato para permitir análisis comparativos robustos.</w:t>
      </w:r>
    </w:p>
    <w:p>
      <w:pPr>
        <w:pStyle w:val="Heading3"/>
        <w:keepNext/>
        <w:keepLines/>
      </w:pPr>
      <w:r>
        <w:t>4. Instrumento de medida: lógica de secciones</w:t>
      </w:r>
    </w:p>
    <w:p>
      <w:r>
        <w:t>La encuesta recoge información en siete bloques:</w:t>
      </w:r>
    </w:p>
    <w:p>
      <w:pPr>
        <w:pStyle w:val="ListNumber"/>
        <w:keepLines w:val="1"/>
        <w:keepNext w:val="1"/>
        <w:widowControl w:val="1"/>
      </w:pPr>
      <w:r>
        <w:t>Información general: permite la segmentación por tipo, tamaño, sector y alcance.</w:t>
      </w:r>
    </w:p>
    <w:p>
      <w:pPr>
        <w:pStyle w:val="ListNumber"/>
        <w:keepLines w:val="1"/>
        <w:keepNext w:val="1"/>
        <w:widowControl w:val="1"/>
      </w:pPr>
      <w:r>
        <w:t>Threat: preguntas 1.x orientadas a catálogo, modelado de amenazas y uso de métricas.</w:t>
      </w:r>
    </w:p>
    <w:p>
      <w:pPr>
        <w:pStyle w:val="ListNumber"/>
        <w:keepLines w:val="1"/>
        <w:keepNext w:val="1"/>
        <w:widowControl w:val="1"/>
      </w:pPr>
      <w:r>
        <w:t>Risk: preguntas 2.x sobre marcos de gestión, cuantificación y ciberseguro.</w:t>
      </w:r>
    </w:p>
    <w:p>
      <w:pPr>
        <w:pStyle w:val="ListNumber"/>
        <w:keepLines w:val="1"/>
        <w:keepNext w:val="1"/>
        <w:widowControl w:val="1"/>
      </w:pPr>
      <w:r>
        <w:t>Impact: preguntas 3.x sobre medición de impacto económico, operativo, reputacional y sistémico.</w:t>
      </w:r>
    </w:p>
    <w:p>
      <w:pPr>
        <w:pStyle w:val="ListNumber"/>
        <w:keepLines w:val="1"/>
        <w:keepNext w:val="1"/>
        <w:widowControl w:val="1"/>
      </w:pPr>
      <w:r>
        <w:t>Knowledge: preguntas 4.x sobre inteligencia de amenazas, lecciones aprendidas y talento.</w:t>
      </w:r>
    </w:p>
    <w:p>
      <w:pPr>
        <w:pStyle w:val="ListNumber"/>
        <w:keepLines w:val="1"/>
        <w:keepNext w:val="1"/>
        <w:widowControl w:val="1"/>
      </w:pPr>
      <w:r>
        <w:t>Evaluation: preguntas 5.x sobre evaluación de controles, auditorías y cumplimiento normativo.</w:t>
      </w:r>
    </w:p>
    <w:p>
      <w:pPr>
        <w:pStyle w:val="ListNumber"/>
        <w:keepLines w:val="1"/>
        <w:widowControl w:val="1"/>
      </w:pPr>
      <w:r>
        <w:t>Métricas, IGM y ROI: preguntas 6.x sobre cuadros de mando y visión del retorno de la inversión.</w:t>
      </w:r>
    </w:p>
    <w:p>
      <w:r>
        <w:t>Este diseño permite:</w:t>
      </w:r>
    </w:p>
    <w:p>
      <w:pPr>
        <w:pStyle w:val="ListBullet"/>
        <w:keepLines w:val="1"/>
        <w:keepNext w:val="1"/>
        <w:widowControl w:val="1"/>
      </w:pPr>
      <w:r>
        <w:t>Analizar cada dimensión TRIKE por separado.</w:t>
      </w:r>
    </w:p>
    <w:p>
      <w:pPr>
        <w:pStyle w:val="ListBullet"/>
        <w:keepLines w:val="1"/>
        <w:keepNext w:val="1"/>
        <w:widowControl w:val="1"/>
      </w:pPr>
      <w:r>
        <w:t>Construir índices compuestos de madurez y prácticas (ver sección 7).</w:t>
      </w:r>
    </w:p>
    <w:p>
      <w:pPr>
        <w:pStyle w:val="ListBullet"/>
        <w:keepLines w:val="1"/>
        <w:widowControl w:val="1"/>
      </w:pPr>
      <w:r>
        <w:t>Realizar cruces con variables estructurales (sector, tamaño, regulación aplicable).</w:t>
      </w:r>
    </w:p>
    <w:p>
      <w:pPr>
        <w:pStyle w:val="Heading3"/>
        <w:keepNext/>
        <w:keepLines/>
      </w:pPr>
      <w:r>
        <w:t>5. Tipo de respuestas y escalas</w:t>
      </w:r>
    </w:p>
    <w:p>
      <w:r>
        <w:t>La mayoría de preguntas utilizan:</w:t>
      </w:r>
    </w:p>
    <w:p>
      <w:pPr>
        <w:pStyle w:val="ListBullet"/>
        <w:keepLines w:val="1"/>
        <w:keepNext w:val="1"/>
        <w:widowControl w:val="1"/>
      </w:pPr>
      <w:r>
        <w:t>Opción única nominal (p.ej. tipo de organización).</w:t>
      </w:r>
    </w:p>
    <w:p>
      <w:pPr>
        <w:pStyle w:val="ListBullet"/>
        <w:keepLines w:val="1"/>
        <w:keepNext w:val="1"/>
        <w:widowControl w:val="1"/>
      </w:pPr>
      <w:r>
        <w:t>Escalas ordinales de desarrollo/madurez (de “no existe” a “sistémico”).</w:t>
      </w:r>
    </w:p>
    <w:p>
      <w:pPr>
        <w:pStyle w:val="ListBullet"/>
        <w:keepLines w:val="1"/>
        <w:widowControl w:val="1"/>
      </w:pPr>
      <w:r>
        <w:t>Selección múltiple para capturar diversidad de prácticas.</w:t>
      </w:r>
    </w:p>
    <w:p>
      <w:r>
        <w:t>Recomendaciones:</w:t>
      </w:r>
    </w:p>
    <w:p>
      <w:pPr>
        <w:pStyle w:val="ListBullet"/>
        <w:keepLines w:val="1"/>
        <w:keepNext w:val="1"/>
        <w:widowControl w:val="1"/>
      </w:pPr>
      <w:r>
        <w:t>Mantener la codificación interna de respuestas (p.ej. 0–4) para permitir cálculo de índices.</w:t>
      </w:r>
    </w:p>
    <w:p>
      <w:pPr>
        <w:pStyle w:val="ListBullet"/>
        <w:keepLines w:val="1"/>
        <w:widowControl w:val="1"/>
      </w:pPr>
      <w:r>
        <w:t>Evitar alterar los enunciados sin revisar la coherencia con el mapeo normativo y los indicadores derivados.</w:t>
      </w:r>
    </w:p>
    <w:p>
      <w:pPr>
        <w:pStyle w:val="Heading3"/>
        <w:keepNext/>
        <w:keepLines/>
      </w:pPr>
      <w:r>
        <w:t>6. Procedimiento de aplicación</w:t>
      </w:r>
    </w:p>
    <w:p>
      <w:pPr>
        <w:pStyle w:val="Heading4"/>
        <w:keepNext/>
        <w:keepLines/>
      </w:pPr>
      <w:r>
        <w:t>6.1 Modalidad</w:t>
      </w:r>
    </w:p>
    <w:p>
      <w:pPr>
        <w:pStyle w:val="ListBullet"/>
        <w:keepLines w:val="1"/>
        <w:keepNext w:val="1"/>
        <w:widowControl w:val="1"/>
      </w:pPr>
      <w:r>
        <w:t>Preferentemente online, mediante formulario seguro accesible solo con invitación.</w:t>
      </w:r>
    </w:p>
    <w:p>
      <w:pPr>
        <w:pStyle w:val="ListBullet"/>
        <w:keepLines w:val="1"/>
        <w:widowControl w:val="1"/>
      </w:pPr>
      <w:r>
        <w:t>Posibilidad de entrevistas asistidas para organizaciones con menor madurez digital.</w:t>
      </w:r>
    </w:p>
    <w:p>
      <w:pPr>
        <w:pStyle w:val="Heading4"/>
        <w:keepNext/>
        <w:keepLines/>
      </w:pPr>
      <w:r>
        <w:t>6.2 Perfil del respondente</w:t>
      </w:r>
    </w:p>
    <w:p>
      <w:r>
        <w:t>Idealmente:</w:t>
      </w:r>
    </w:p>
    <w:p>
      <w:pPr>
        <w:pStyle w:val="ListBullet"/>
        <w:keepLines w:val="1"/>
        <w:keepNext w:val="1"/>
        <w:widowControl w:val="1"/>
      </w:pPr>
      <w:r>
        <w:t>CISO, CIO, responsable de seguridad o de riesgos.</w:t>
      </w:r>
    </w:p>
    <w:p>
      <w:pPr>
        <w:pStyle w:val="ListBullet"/>
        <w:keepLines w:val="1"/>
        <w:widowControl w:val="1"/>
      </w:pPr>
      <w:r>
        <w:t>En su defecto, alguien con visión transversal de sistemas, operaciones y cumplimiento normativo.</w:t>
      </w:r>
    </w:p>
    <w:p>
      <w:r>
        <w:t>Se recomienda:</w:t>
      </w:r>
    </w:p>
    <w:p>
      <w:pPr>
        <w:pStyle w:val="ListBullet"/>
        <w:keepLines w:val="1"/>
        <w:widowControl w:val="1"/>
      </w:pPr>
      <w:r>
        <w:t>Validar internamente las respuestas con al menos otra persona clave (p.ej. responsable de cumplimiento, de negocio o de continuidad de negocio).</w:t>
      </w:r>
    </w:p>
    <w:p>
      <w:pPr>
        <w:pStyle w:val="Heading4"/>
        <w:keepNext/>
        <w:keepLines/>
      </w:pPr>
      <w:r>
        <w:t>6.3 Duración</w:t>
      </w:r>
    </w:p>
    <w:p>
      <w:r>
        <w:t>La duración estimada es de 20 a 35 minutos, dependiendo del nivel de detalle y reflexión.</w:t>
      </w:r>
      <w:r/>
      <w:r>
        <w:br/>
        <w:t>Como regla de bolsillo: “si tarda menos de diez minutos, probablemente ha sido demasiado optimista; si tarda más de una hora, probablemente lo está haciendo bien pero sufrirá”.</w:t>
      </w:r>
    </w:p>
    <w:p>
      <w:pPr>
        <w:pStyle w:val="Heading3"/>
        <w:keepNext/>
        <w:keepLines/>
      </w:pPr>
      <w:r>
        <w:t>7. Construcción de índices e indicadores</w:t>
      </w:r>
    </w:p>
    <w:p>
      <w:r>
        <w:t>La encuesta permite construir, entre otros, los siguientes índices:</w:t>
      </w:r>
    </w:p>
    <w:p>
      <w:pPr>
        <w:pStyle w:val="ListBullet"/>
        <w:keepLines w:val="1"/>
        <w:keepNext w:val="1"/>
        <w:widowControl w:val="1"/>
      </w:pPr>
      <w:r>
        <w:t>Índice TRIKE de Madurez (IGM): combinación ponderada de puntuaciones en Threat, Risk, Impact, Knowledge y Evaluation.</w:t>
      </w:r>
    </w:p>
    <w:p>
      <w:pPr>
        <w:pStyle w:val="ListBullet"/>
        <w:keepLines w:val="1"/>
        <w:keepNext w:val="1"/>
        <w:widowControl w:val="1"/>
      </w:pPr>
      <w:r>
        <w:t>Índice de Amenaza Percibida y Gestionada (T): mide prácticas de identificación, modelado y uso de métricas de amenazas.</w:t>
      </w:r>
    </w:p>
    <w:p>
      <w:pPr>
        <w:pStyle w:val="ListBullet"/>
        <w:keepLines w:val="1"/>
        <w:keepNext w:val="1"/>
        <w:widowControl w:val="1"/>
      </w:pPr>
      <w:r>
        <w:t>Índice de Riesgo y Cuantificación (R): captura la formalización del marco, la cuantificación y la vinculación a decisiones.</w:t>
      </w:r>
    </w:p>
    <w:p>
      <w:pPr>
        <w:pStyle w:val="ListBullet"/>
        <w:keepLines w:val="1"/>
        <w:keepNext w:val="1"/>
        <w:widowControl w:val="1"/>
      </w:pPr>
      <w:r>
        <w:t>Índice de Impacto (I): refleja la capacidad de medir impacto económico, operativo, reputacional y sistémico.</w:t>
      </w:r>
    </w:p>
    <w:p>
      <w:pPr>
        <w:pStyle w:val="ListBullet"/>
        <w:keepLines w:val="1"/>
        <w:keepNext w:val="1"/>
        <w:widowControl w:val="1"/>
      </w:pPr>
      <w:r>
        <w:t>Índice de Conocimiento (K): sintetiza inteligencia de amenazas, formación, lecciones aprendidas y cultura.</w:t>
      </w:r>
    </w:p>
    <w:p>
      <w:pPr>
        <w:pStyle w:val="ListBullet"/>
        <w:keepLines w:val="1"/>
        <w:widowControl w:val="1"/>
      </w:pPr>
      <w:r>
        <w:t>Índice de Evaluación (E): analiza revisión de modelos, auditorías y alineamiento regulatorio.</w:t>
      </w:r>
    </w:p>
    <w:p>
      <w:r>
        <w:t xml:space="preserve">En la plantilla de Excel asociada se propone una codificación numérica de cada respuesta (0–4) y una ponderación ajustable para cada grupo de preguntas. (Véase </w:t>
      </w:r>
      <w:r>
        <w:rPr>
          <w:rFonts w:ascii="Courier New" w:hAnsi="Courier New"/>
          <w:sz w:val="18"/>
        </w:rPr>
        <w:t>e_plantilla_excel_igm_roi.md</w:t>
      </w:r>
      <w:r>
        <w:t>.)</w:t>
      </w:r>
    </w:p>
    <w:p>
      <w:pPr>
        <w:pStyle w:val="Heading3"/>
        <w:keepNext/>
        <w:keepLines/>
      </w:pPr>
      <w:r>
        <w:t>8. Enfoque normativo y comparativo</w:t>
      </w:r>
    </w:p>
    <w:p>
      <w:r>
        <w:t>El diseño se alinea con:</w:t>
      </w:r>
    </w:p>
    <w:p>
      <w:pPr>
        <w:pStyle w:val="ListBullet"/>
        <w:keepLines w:val="1"/>
        <w:keepNext w:val="1"/>
        <w:widowControl w:val="1"/>
      </w:pPr>
      <w:r>
        <w:t>Requisitos de gestión de riesgos y gobernanza de NIS2, según guía técnica de ENISA. [web:23]</w:t>
      </w:r>
    </w:p>
    <w:p>
      <w:pPr>
        <w:pStyle w:val="ListBullet"/>
        <w:keepLines w:val="1"/>
        <w:keepNext w:val="1"/>
        <w:widowControl w:val="1"/>
      </w:pPr>
      <w:r>
        <w:t>Anteproyecto de Ley de Coordinación y Gobernanza de la Ciberseguridad en España, incluyendo la creación del CNCS. [web:20]</w:t>
      </w:r>
    </w:p>
    <w:p>
      <w:pPr>
        <w:pStyle w:val="ListBullet"/>
        <w:keepLines w:val="1"/>
        <w:widowControl w:val="1"/>
      </w:pPr>
      <w:r>
        <w:t>Prácticas recomendadas de threat modeling y métricas propuestas en documentos de ISACA. [web:14][web:21][web:28]</w:t>
      </w:r>
    </w:p>
    <w:p>
      <w:r>
        <w:t>Esto permite:</w:t>
      </w:r>
    </w:p>
    <w:p>
      <w:pPr>
        <w:pStyle w:val="ListBullet"/>
        <w:keepLines w:val="1"/>
        <w:keepNext w:val="1"/>
        <w:widowControl w:val="1"/>
      </w:pPr>
      <w:r>
        <w:t>Mapear cada pregunta a obligaciones o recomendaciones normativas.</w:t>
      </w:r>
    </w:p>
    <w:p>
      <w:pPr>
        <w:pStyle w:val="ListBullet"/>
        <w:keepLines w:val="1"/>
        <w:widowControl w:val="1"/>
      </w:pPr>
      <w:r>
        <w:t>Utilizar los resultados como evidencia para planes de acción, roadmap de cumplimiento o para auditorías.</w:t>
      </w:r>
    </w:p>
    <w:p>
      <w:pPr>
        <w:pStyle w:val="Heading3"/>
        <w:keepNext/>
        <w:keepLines/>
      </w:pPr>
      <w:r>
        <w:t>9. Interpretación de resultados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>No usar los índices como arma arrojadiza, sino como espejo estratégico.</w:t>
      </w:r>
    </w:p>
    <w:p>
      <w:pPr>
        <w:pStyle w:val="ListBullet"/>
        <w:keepLines w:val="1"/>
        <w:keepNext w:val="1"/>
        <w:widowControl w:val="1"/>
      </w:pPr>
      <w:r>
        <w:t>Situar los resultados en contexto (sector, tamaño, regulación aplicable).</w:t>
      </w:r>
    </w:p>
    <w:p>
      <w:pPr>
        <w:pStyle w:val="ListBullet"/>
        <w:keepLines w:val="1"/>
        <w:widowControl w:val="1"/>
      </w:pPr>
      <w:r>
        <w:t>Evitar comparaciones simplistas (“somos mejor/peor que”) y centrarse en brechas y prioridades.</w:t>
      </w:r>
    </w:p>
    <w:p>
      <w:r>
        <w:t>Un uso maduro del instrumento consiste en:</w:t>
      </w:r>
    </w:p>
    <w:p>
      <w:pPr>
        <w:pStyle w:val="ListBullet"/>
        <w:keepLines w:val="1"/>
        <w:keepNext w:val="1"/>
        <w:widowControl w:val="1"/>
      </w:pPr>
      <w:r>
        <w:t>Identificar 3–5 áreas prioritarias de mejora por dimensión TRIKE.</w:t>
      </w:r>
    </w:p>
    <w:p>
      <w:pPr>
        <w:pStyle w:val="ListBullet"/>
        <w:keepLines w:val="1"/>
        <w:keepNext w:val="1"/>
        <w:widowControl w:val="1"/>
      </w:pPr>
      <w:r>
        <w:t>Vincular esas áreas con medidas concretas, responsables y plazos.</w:t>
      </w:r>
    </w:p>
    <w:p>
      <w:pPr>
        <w:pStyle w:val="ListBullet"/>
        <w:keepLines w:val="1"/>
        <w:widowControl w:val="1"/>
      </w:pPr>
      <w:r>
        <w:t>Repetir la encuesta periódicamente (p.ej. cada 18–24 meses) para observar la evolución.</w:t>
      </w:r>
    </w:p>
    <w:p>
      <w:pPr>
        <w:pStyle w:val="Heading3"/>
        <w:keepNext/>
        <w:keepLines/>
      </w:pPr>
      <w:r>
        <w:t>10. Consideraciones éticas y de confidencialidad</w:t>
      </w:r>
    </w:p>
    <w:p>
      <w:pPr>
        <w:pStyle w:val="ListBullet"/>
        <w:keepLines w:val="1"/>
        <w:keepNext w:val="1"/>
        <w:widowControl w:val="1"/>
      </w:pPr>
      <w:r>
        <w:t>Garantizar el anonimato en informes agregados, salvo acuerdo explícito.</w:t>
      </w:r>
    </w:p>
    <w:p>
      <w:pPr>
        <w:pStyle w:val="ListBullet"/>
        <w:keepLines w:val="1"/>
        <w:keepNext w:val="1"/>
        <w:widowControl w:val="1"/>
      </w:pPr>
      <w:r>
        <w:t>Evitar recopilar datos innecesarios o excesivamente sensibles.</w:t>
      </w:r>
    </w:p>
    <w:p>
      <w:pPr>
        <w:pStyle w:val="ListBullet"/>
        <w:keepLines w:val="1"/>
        <w:widowControl w:val="1"/>
      </w:pPr>
      <w:r>
        <w:t>Aplicar buenas prácticas de protección de datos y transparencia en el uso de la información recolectada.</w:t>
      </w:r>
    </w:p>
    <w:p>
      <w:pPr>
        <w:pStyle w:val="Heading2"/>
        <w:keepNext/>
        <w:keepLines/>
      </w:pPr>
      <w:r>
        <w:rPr>
          <w:color w:val="0066CC"/>
        </w:rPr>
        <w:t>10+1. Nota final</w:t>
      </w:r>
    </w:p>
    <w:p>
      <w:r>
        <w:t>Esta encuesta no es un test de pureza.</w:t>
      </w:r>
      <w:r/>
      <w:r>
        <w:br/>
        <w:t>No pretende coronar al “mejor alumno” en ciberseguridad, sino ayudar a todos a dejar de copiar en silencio del vecino y empezar a entender por qué algunos exámenes –los de la realidad– salen mejor que otros.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