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Esta matriz aplica los criterios PRAGMATIC a las principales métricas definidas en el marco GQM para las dimensiones TRIKE. [web:39][web:42][web:45]</w:t>
      </w:r>
    </w:p>
    <w:p>
      <w:r>
        <w:t>Escala de valoración por criterio (0–5):</w:t>
      </w:r>
    </w:p>
    <w:p>
      <w:pPr>
        <w:pStyle w:val="ListBullet"/>
        <w:keepLines w:val="1"/>
        <w:keepNext w:val="1"/>
        <w:widowControl w:val="1"/>
      </w:pPr>
      <w:r>
        <w:t>0 = No cumple el criterio.</w:t>
      </w:r>
    </w:p>
    <w:p>
      <w:pPr>
        <w:pStyle w:val="ListBullet"/>
        <w:keepLines w:val="1"/>
        <w:keepNext w:val="1"/>
        <w:widowControl w:val="1"/>
      </w:pPr>
      <w:r>
        <w:t>1–2 = Cumplimiento débil o contextual.</w:t>
      </w:r>
    </w:p>
    <w:p>
      <w:pPr>
        <w:pStyle w:val="ListBullet"/>
        <w:keepLines w:val="1"/>
        <w:keepNext w:val="1"/>
        <w:widowControl w:val="1"/>
      </w:pPr>
      <w:r>
        <w:t>3–4 = Cumplimiento razonable / bueno.</w:t>
      </w:r>
    </w:p>
    <w:p>
      <w:pPr>
        <w:pStyle w:val="ListBullet"/>
        <w:keepLines w:val="1"/>
        <w:widowControl w:val="1"/>
      </w:pPr>
      <w:r>
        <w:t>5 = Cumplimiento excelente.</w:t>
      </w:r>
    </w:p>
    <w:p>
      <w:pPr>
        <w:pStyle w:val="Heading2"/>
        <w:keepNext/>
        <w:keepLines/>
      </w:pPr>
      <w:r>
        <w:rPr>
          <w:color w:val="0066CC"/>
        </w:rPr>
        <w:t>2. Tabla resumen de métricas TRIKE y scores PRAGMATIC</w:t>
      </w:r>
    </w:p>
    <w:p>
      <w:r>
        <w:t>Nota: Los valores propuestos son orientativos y deben ajustarse en ejercicios reales con expertos nacionales. [web:45]</w:t>
      </w:r>
    </w:p>
    <w:p>
      <w:pPr>
        <w:pStyle w:val="Heading3"/>
        <w:keepNext/>
        <w:keepLines/>
      </w:pPr>
      <w:r>
        <w:t>2.1 Threat (T)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 (Significativo)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 (Preciso)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 (Oportuno)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(Independiente)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 (Rentable)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T1.1.a Incidentes/100.000 hab. por sector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Métrica central para ver presión de amenazas; depende de calidad de reporte. [web:22][web:46]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T1.1.b Incidentes NIS2 por tipo de entidad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Muy alineada con supervisión; requiere madurez en notificación. [web:23][web:44]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T1.2.a % incidentes APT/eCrime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Requiere capacidad de atribución; muy útil para priorización. [web:13][web:46]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T1.2.b % ataques malware-free/IA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Indica sofisticación del panorama; depende de fuentes de detección. [web:13]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T1.3.a Incidentes vía proveedores críticos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Clave para cadena de suministro; precisión limitada por sub-reporte. [web:23][web:46]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T1.3.b % vulns cadena suministro SW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Difícil de medir con precisión, pero relevante para seguridad de software. [web:23]</w:t>
            </w:r>
          </w:p>
        </w:tc>
      </w:tr>
    </w:tbl>
    <w:p/>
    <w:p>
      <w:pPr>
        <w:pStyle w:val="Heading3"/>
        <w:keepNext/>
        <w:keepLines/>
      </w:pPr>
      <w:r>
        <w:t>2.2 Risk (R)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R1.1.a Pérdida esperada por 1.000 M€ VA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Excelente para decisiones macro; requiere estimaciones y supuestos sólidos. [web:16][web:23]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R1.2.a % entidades con riesgo cuantitativo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Mide madurez de prácticas; relativamente fácil de recabar por encuesta.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R1.3.a Ratio incidentes/entidad por categoría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Útil para ver concentración de riesgo por tipo de entidad.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R1.3.b Pérdida media por incidente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Aporta contexto económico; sensibilidad a calidad de datos de impacto. [web:22]</w:t>
            </w:r>
          </w:p>
        </w:tc>
      </w:tr>
    </w:tbl>
    <w:p/>
    <w:p>
      <w:pPr>
        <w:pStyle w:val="Heading3"/>
        <w:keepNext/>
        <w:keepLines/>
      </w:pPr>
      <w:r>
        <w:t>2.3 Impact (I)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I1.1.a Duración media de indisponibilidad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Directamente accionable para resiliencia y continuidad. [web:23]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I1.2.a Coste medio de incidentes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Clave para ROI; requiere modelos de estimación homogéneos. [web:22]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I1.2.b P90/P95 impacto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Resalta incidentes extremos; útil para seguros y regulación. [web:23]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I1.3.a Nº usuarios afectados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Social y políticamente muy significativo; suele estar bien registrado. [web:22]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I1.3.b Nº y cuantía de sanciones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Máximo valor para cumplimiento; datos trazables en fuentes oficiales. [web:44]</w:t>
            </w:r>
          </w:p>
        </w:tc>
      </w:tr>
    </w:tbl>
    <w:p/>
    <w:p>
      <w:pPr>
        <w:pStyle w:val="Heading3"/>
        <w:keepNext/>
        <w:keepLines/>
      </w:pPr>
      <w:r>
        <w:t>2.4 Knowledge (K)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K1.1.a % entidades con threat intel formal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Indica capacidad de anticipación; fácil de recoger por encuesta. [web:25][web:40]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K1.2.a % incidentes con post-mortem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Excelente para medir aprendizaje organizativo; requiere cultura de reporte. [web:25]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K1.3.a Profesionales cert. /100.000 hab.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Buen indicador de capacidad estructural; datos a consolidar desde certificadoras. [web:16]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K1.3.b Ratio vacantes/puestos ECSF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Mide brecha de talento; estimaciones sujetas a incertidumbre. [web:40]</w:t>
            </w:r>
          </w:p>
        </w:tc>
      </w:tr>
    </w:tbl>
    <w:p/>
    <w:p>
      <w:pPr>
        <w:pStyle w:val="Heading3"/>
        <w:keepNext/>
        <w:keepLines/>
      </w:pPr>
      <w:r>
        <w:t>2.5 Evaluation (E)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E1.1.a % entidades con revisión anual de controles/modelos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Clave para medir mejora continua; se recaba por encuesta/auditoría. [web:23][web:43]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E1.2.a % entidades con alto alineamiento NIS2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Indicador de cumplimiento percibido; complementarlo con evidencias objetivas. [web:17][web:44]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E1.2.b Nº hallazgos de supervisión por categoría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Tal vez la métrica más “genuina” de realidad regulatoria; coste de obtención moderado. [web:43][web:44]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E1.3.a % entidades que vinculan auditoría a cambios de recursos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Mide el grado en que la evaluación cambia la práctica, no solo el discurso. [web:16][web:41]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de la matriz PRAGMATIC</w:t>
      </w:r>
    </w:p>
    <w:p>
      <w:pPr>
        <w:pStyle w:val="ListNumber"/>
        <w:keepLines w:val="1"/>
        <w:keepNext w:val="1"/>
        <w:widowControl w:val="1"/>
      </w:pPr>
      <w:r>
        <w:t>Revisar y ajustar los scores con un panel de expertos nacionales y sectoriales.</w:t>
      </w:r>
    </w:p>
    <w:p>
      <w:pPr>
        <w:pStyle w:val="ListNumber"/>
        <w:keepLines w:val="1"/>
        <w:keepNext w:val="1"/>
        <w:widowControl w:val="1"/>
      </w:pPr>
      <w:r>
        <w:t>Calcular un “meta-score” PRAGMATIC por métrica (por ejemplo, media ponderada de los nueve criterios). [web:45]</w:t>
      </w:r>
    </w:p>
    <w:p>
      <w:pPr>
        <w:pStyle w:val="ListNumber"/>
        <w:keepLines w:val="1"/>
        <w:keepNext w:val="1"/>
        <w:widowControl w:val="1"/>
      </w:pPr>
      <w:r>
        <w:t>Priorizar métricas con meta-score alto y eliminar o mejorar aquellas con puntuaciones bajas.</w:t>
      </w:r>
    </w:p>
    <w:p>
      <w:pPr>
        <w:pStyle w:val="ListNumber"/>
        <w:keepLines w:val="1"/>
        <w:widowControl w:val="1"/>
      </w:pPr>
      <w:r>
        <w:t>Revisar la matriz periódicamente para incorporar nuevas métricas o retirar las obsoletas. [web:46]</w:t>
      </w:r>
    </w:p>
    <w:p>
      <w:r>
        <w:t>La ambición no es tener más métricas, sino mejores métricas.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