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Narrativa Explicativa de la Encuesta TRIKE</w:t>
      </w:r>
    </w:p>
    <w:p>
      <w:pPr>
        <w:pStyle w:val="Heading2"/>
        <w:keepNext/>
        <w:keepLines/>
      </w:pPr>
      <w:r>
        <w:rPr>
          <w:color w:val="0066CC"/>
        </w:rPr>
        <w:t>Por qué preguntamos lo que preguntamos</w:t>
      </w:r>
    </w:p>
    <w:p>
      <w:pPr>
        <w:pStyle w:val="Heading3"/>
        <w:keepNext/>
        <w:keepLines/>
      </w:pPr>
      <w:r>
        <w:t>1. El contexto: amenazas crecientes, paciencia menguante</w:t>
      </w:r>
    </w:p>
    <w:p>
      <w:r>
        <w:t>En los últimos años, los incidentes de ciberseguridad en España no han dejado de marcar récords, con más de 97.000 incidentes gestionados por INCIBE solo en 2024 y un crecimiento cercano al 17 % respecto al año anterior. [web:22][web:26]</w:t>
      </w:r>
      <w:r/>
      <w:r>
        <w:br/>
        <w:t>Mientras la superficie de ataque se expande, la paciencia de reguladores, clientes y ciudadanos tiende más bien al camino opuesto.</w:t>
      </w:r>
    </w:p>
    <w:p>
      <w:r>
        <w:t>La Directiva NIS2 y su transposición en España, junto con otras normas como el RGPD o el ENS, no se han redactado para decorar el Boletín Oficial del Estado: exigen, con una seriedad algo seca, que las organizaciones gestionen el riesgo de forma estructurada, midan lo que hacen y puedan explicarlo a quien corresponda. [web:17][web:20][web:23]</w:t>
      </w:r>
    </w:p>
    <w:p>
      <w:pPr>
        <w:pStyle w:val="Heading3"/>
        <w:keepNext/>
        <w:keepLines/>
      </w:pPr>
      <w:r>
        <w:t>2. TRIKE como prisma, no como dogma</w:t>
      </w:r>
    </w:p>
    <w:p>
      <w:r>
        <w:t>TRIKE nació como metodología de modelado de amenazas, pero aquí lo usamos como prisma: Threat, Risk, Impact, Knowledge y Evaluation.</w:t>
      </w:r>
      <w:r/>
      <w:r>
        <w:br/>
        <w:t>Cada bloque de la encuesta está diseñado para reflejar una de estas dimensiones sin presuponer que la organización “habla TRIKE” en su día a día.</w:t>
      </w:r>
    </w:p>
    <w:p>
      <w:pPr>
        <w:pStyle w:val="ListBullet"/>
        <w:keepLines w:val="1"/>
        <w:keepNext w:val="1"/>
        <w:widowControl w:val="1"/>
      </w:pPr>
      <w:r>
        <w:t>Threat: cómo se identifica, describe y mide aquello que puede ir mal.</w:t>
      </w:r>
    </w:p>
    <w:p>
      <w:pPr>
        <w:pStyle w:val="ListBullet"/>
        <w:keepLines w:val="1"/>
        <w:keepNext w:val="1"/>
        <w:widowControl w:val="1"/>
      </w:pPr>
      <w:r>
        <w:t>Risk: cómo se estructura, cuantifica y gobierna la incertidumbre.</w:t>
      </w:r>
    </w:p>
    <w:p>
      <w:pPr>
        <w:pStyle w:val="ListBullet"/>
        <w:keepLines w:val="1"/>
        <w:keepNext w:val="1"/>
        <w:widowControl w:val="1"/>
      </w:pPr>
      <w:r>
        <w:t>Impact: cómo se estima la magnitud del daño cuando las cosas efectivamente van mal.</w:t>
      </w:r>
    </w:p>
    <w:p>
      <w:pPr>
        <w:pStyle w:val="ListBullet"/>
        <w:keepLines w:val="1"/>
        <w:keepNext w:val="1"/>
        <w:widowControl w:val="1"/>
      </w:pPr>
      <w:r>
        <w:t>Knowledge: cómo se aprende, explícita e implícitamente, de amenazas e incidentes.</w:t>
      </w:r>
    </w:p>
    <w:p>
      <w:pPr>
        <w:pStyle w:val="ListBullet"/>
        <w:keepLines w:val="1"/>
        <w:widowControl w:val="1"/>
      </w:pPr>
      <w:r>
        <w:t>Evaluation: cómo se evalúa todo lo anterior y se corrige el rumbo.</w:t>
      </w:r>
    </w:p>
    <w:p>
      <w:r>
        <w:t>La encuesta no pregunta “¿utiliza TRIKE?”, sino “¿qué hace usted –llámelo como quiera– para lidiar con cada uno de estos bloques fundamentales?”.</w:t>
      </w:r>
    </w:p>
    <w:p>
      <w:pPr>
        <w:pStyle w:val="Heading3"/>
        <w:keepNext/>
        <w:keepLines/>
      </w:pPr>
      <w:r>
        <w:t>3. Del incidente aislado al ecosistema</w:t>
      </w:r>
    </w:p>
    <w:p>
      <w:r>
        <w:t>Muchos marcos siguen pensando el incidente como un fenómeno aislado: algo que le sucede a “mi” sistema en “mi” perímetro.</w:t>
      </w:r>
      <w:r/>
      <w:r>
        <w:br/>
        <w:t>La realidad actual –con cadenas de suministro densas, servicios cloud ubicuos y requisitos de resiliencia a nivel de país– exige pensar en términos de ecosistema.</w:t>
      </w:r>
    </w:p>
    <w:p>
      <w:r>
        <w:t>Esto se refleja en preguntas sobre:</w:t>
      </w:r>
    </w:p>
    <w:p>
      <w:pPr>
        <w:pStyle w:val="ListBullet"/>
        <w:keepLines w:val="1"/>
        <w:keepNext w:val="1"/>
        <w:widowControl w:val="1"/>
      </w:pPr>
      <w:r>
        <w:t>Impacto sistémico (efectos en cadena de suministro, terceros, ecosistemas).</w:t>
      </w:r>
    </w:p>
    <w:p>
      <w:pPr>
        <w:pStyle w:val="ListBullet"/>
        <w:keepLines w:val="1"/>
        <w:keepNext w:val="1"/>
        <w:widowControl w:val="1"/>
      </w:pPr>
      <w:r>
        <w:t>Benchmarking frente a datos sectoriales y nacionales.</w:t>
      </w:r>
    </w:p>
    <w:p>
      <w:pPr>
        <w:pStyle w:val="ListBullet"/>
        <w:keepLines w:val="1"/>
        <w:widowControl w:val="1"/>
      </w:pPr>
      <w:r>
        <w:t>Alineamiento con marcos europeos como NIS2 y recomendaciones de ENISA. [web:23][web:18]</w:t>
      </w:r>
    </w:p>
    <w:p>
      <w:r>
        <w:t>No se trata solo de proteger “mi” organización, sino de asumir que formamos parte de un tejido interdependiente en el que la caída de uno puede sacudir a muchos.</w:t>
      </w:r>
    </w:p>
    <w:p>
      <w:pPr>
        <w:pStyle w:val="Heading3"/>
        <w:keepNext/>
        <w:keepLines/>
      </w:pPr>
      <w:r>
        <w:t>4. La dimensión incómoda: medir el impacto de verdad</w:t>
      </w:r>
    </w:p>
    <w:p>
      <w:r>
        <w:t>Medir incidentes es relativamente sencillo: contar casos.</w:t>
      </w:r>
      <w:r/>
      <w:r>
        <w:br/>
        <w:t>Medir impacto es otro asunto: cuantificar euros, horas de parada, usuarios afectados, sanciones potenciales, erosión de confianza.</w:t>
      </w:r>
    </w:p>
    <w:p>
      <w:r>
        <w:t>La encuesta insiste en:</w:t>
      </w:r>
    </w:p>
    <w:p>
      <w:pPr>
        <w:pStyle w:val="ListBullet"/>
        <w:keepLines w:val="1"/>
        <w:keepNext w:val="1"/>
        <w:widowControl w:val="1"/>
      </w:pPr>
      <w:r>
        <w:t>Registros de impacto económico (P3.1).</w:t>
      </w:r>
    </w:p>
    <w:p>
      <w:pPr>
        <w:pStyle w:val="ListBullet"/>
        <w:keepLines w:val="1"/>
        <w:keepNext w:val="1"/>
        <w:widowControl w:val="1"/>
      </w:pPr>
      <w:r>
        <w:t>Duración de interrupciones de servicios esenciales (P3.2).</w:t>
      </w:r>
    </w:p>
    <w:p>
      <w:pPr>
        <w:pStyle w:val="ListBullet"/>
        <w:keepLines w:val="1"/>
        <w:keepNext w:val="1"/>
        <w:widowControl w:val="1"/>
      </w:pPr>
      <w:r>
        <w:t>Clasificaciones objetivas de impacto (P3.3).</w:t>
      </w:r>
    </w:p>
    <w:p>
      <w:pPr>
        <w:pStyle w:val="ListBullet"/>
        <w:keepLines w:val="1"/>
        <w:widowControl w:val="1"/>
      </w:pPr>
      <w:r>
        <w:t>Consideración de sanciones regulatorias y efectos reputacionales (P3.4–P3.5).</w:t>
      </w:r>
    </w:p>
    <w:p>
      <w:r>
        <w:t>No es casual: NIS2 y las propias aseguradoras solo se toman en serio lo que se puede traducir –directa o indirectamente– en coste, continuidad y responsabilidad. [web:19][web:20][web:22]</w:t>
      </w:r>
    </w:p>
    <w:p>
      <w:pPr>
        <w:pStyle w:val="Heading3"/>
        <w:keepNext/>
        <w:keepLines/>
      </w:pPr>
      <w:r>
        <w:t>5. Knowledge: el cuello de botella silencioso</w:t>
      </w:r>
    </w:p>
    <w:p>
      <w:r>
        <w:t xml:space="preserve">La dimensión Knowledge es el punto en el que el discurso heroico suele tropezar con la realidad: falta de talento, falta de tiempo, falta de procesos para aprender de los errores. [web:16][web:25]  </w:t>
      </w:r>
    </w:p>
    <w:p>
      <w:r>
        <w:t>Las preguntas sobre:</w:t>
      </w:r>
    </w:p>
    <w:p>
      <w:pPr>
        <w:pStyle w:val="ListBullet"/>
        <w:keepLines w:val="1"/>
        <w:keepNext w:val="1"/>
        <w:widowControl w:val="1"/>
      </w:pPr>
      <w:r>
        <w:t>Programas de inteligencia de amenazas.</w:t>
      </w:r>
    </w:p>
    <w:p>
      <w:pPr>
        <w:pStyle w:val="ListBullet"/>
        <w:keepLines w:val="1"/>
        <w:keepNext w:val="1"/>
        <w:widowControl w:val="1"/>
      </w:pPr>
      <w:r>
        <w:t>Lecciones aprendidas y post-mortem.</w:t>
      </w:r>
    </w:p>
    <w:p>
      <w:pPr>
        <w:pStyle w:val="ListBullet"/>
        <w:keepLines w:val="1"/>
        <w:widowControl w:val="1"/>
      </w:pPr>
      <w:r>
        <w:t>Formación y cultura organizativa.</w:t>
      </w:r>
    </w:p>
    <w:p>
      <w:r>
        <w:t>buscan medir hasta qué punto la organización es capaz de convertir incidentes y near-misses en conocimiento reutilizable, en lugar de coleccionar cicatrices sin memoria. [web:25]</w:t>
      </w:r>
    </w:p>
    <w:p>
      <w:pPr>
        <w:pStyle w:val="Heading3"/>
        <w:keepNext/>
        <w:keepLines/>
      </w:pPr>
      <w:r>
        <w:t>6. Evaluation: la hora de la verdad</w:t>
      </w:r>
    </w:p>
    <w:p>
      <w:r>
        <w:t>Cualquier modelo –TRIKE, STRIDE o la servilleta del bar– vale lo que valga su revisión periódica.</w:t>
      </w:r>
      <w:r/>
      <w:r>
        <w:br/>
        <w:t>La dimensión Evaluation observa:</w:t>
      </w:r>
    </w:p>
    <w:p>
      <w:pPr>
        <w:pStyle w:val="ListBullet"/>
        <w:keepLines w:val="1"/>
        <w:keepNext w:val="1"/>
        <w:widowControl w:val="1"/>
      </w:pPr>
      <w:r>
        <w:t>Si se revisan controles y modelos de amenazas.</w:t>
      </w:r>
    </w:p>
    <w:p>
      <w:pPr>
        <w:pStyle w:val="ListBullet"/>
        <w:keepLines w:val="1"/>
        <w:keepNext w:val="1"/>
        <w:widowControl w:val="1"/>
      </w:pPr>
      <w:r>
        <w:t>Si las auditorías son meros trámites o palancas de mejora.</w:t>
      </w:r>
    </w:p>
    <w:p>
      <w:pPr>
        <w:pStyle w:val="ListBullet"/>
        <w:keepLines w:val="1"/>
        <w:widowControl w:val="1"/>
      </w:pPr>
      <w:r>
        <w:t>Si los resultados influyen en prioridades y recursos.</w:t>
      </w:r>
    </w:p>
    <w:p>
      <w:r>
        <w:t>El espíritu de NIS2 y de las guías de ENISA es claro: la gestión del riesgo de ciberseguridad no es un “proyecto”, sino un proceso permanente. [web:23][web:28]</w:t>
      </w:r>
      <w:r/>
      <w:r>
        <w:br/>
        <w:t>La encuesta intenta capturar si la organización vive esa realidad… o sigue esperando que “cuando pase la tormenta” podrá volver a la normalidad de siempre.</w:t>
      </w:r>
    </w:p>
    <w:p>
      <w:pPr>
        <w:pStyle w:val="Heading3"/>
        <w:keepNext/>
        <w:keepLines/>
      </w:pPr>
      <w:r>
        <w:t>7. IGM y ROI: números con sentido</w:t>
      </w:r>
    </w:p>
    <w:p>
      <w:r>
        <w:t>Hablar de madurez sin números es cómodo, pero poco accionable.</w:t>
      </w:r>
      <w:r/>
      <w:r>
        <w:br/>
        <w:t>Por eso, junto con la encuesta se propone un esquema de Índice Global de Madurez (IGM) y herramientas para aproximar el ROI de las inversiones en ciberseguridad.</w:t>
      </w:r>
    </w:p>
    <w:p>
      <w:pPr>
        <w:pStyle w:val="ListBullet"/>
        <w:keepLines w:val="1"/>
        <w:keepNext w:val="1"/>
        <w:widowControl w:val="1"/>
      </w:pPr>
      <w:r>
        <w:t>El IGM permite comparar en el tiempo y entre organizaciones sin pretender reducir la realidad a un solo número mágico.</w:t>
      </w:r>
    </w:p>
    <w:p>
      <w:pPr>
        <w:pStyle w:val="ListBullet"/>
        <w:keepLines w:val="1"/>
        <w:widowControl w:val="1"/>
      </w:pPr>
      <w:r>
        <w:t>El ROI, aun aproximado, ayuda a dialogar con dirección y finanzas en un idioma que comprenden: cuánto costaría no hacer nada, y cuánto estamos evitando con lo que hacemos.</w:t>
      </w:r>
    </w:p>
    <w:p>
      <w:r>
        <w:t>No hay promesa de precisión absoluta; solo la aspiración de que, por una vez, los números ayuden más de lo que confunden.</w:t>
      </w:r>
    </w:p>
    <w:p>
      <w:pPr>
        <w:pStyle w:val="Heading3"/>
        <w:keepNext/>
        <w:keepLines/>
      </w:pPr>
      <w:r>
        <w:t>8. ¿Y ahora qué?</w:t>
      </w:r>
    </w:p>
    <w:p>
      <w:r>
        <w:t>La encuesta no resuelve nada por sí sola.</w:t>
      </w:r>
      <w:r/>
      <w:r>
        <w:br/>
        <w:t>Lo que sí hace es poner sobre la mesa preguntas incómodas, pero necesarias, acerca de:</w:t>
      </w:r>
    </w:p>
    <w:p>
      <w:pPr>
        <w:pStyle w:val="ListBullet"/>
        <w:keepLines w:val="1"/>
        <w:keepNext w:val="1"/>
        <w:widowControl w:val="1"/>
      </w:pPr>
      <w:r>
        <w:t>Cómo pensamos las amenazas.</w:t>
      </w:r>
    </w:p>
    <w:p>
      <w:pPr>
        <w:pStyle w:val="ListBullet"/>
        <w:keepLines w:val="1"/>
        <w:keepNext w:val="1"/>
        <w:widowControl w:val="1"/>
      </w:pPr>
      <w:r>
        <w:t>Cómo medimos el riesgo.</w:t>
      </w:r>
    </w:p>
    <w:p>
      <w:pPr>
        <w:pStyle w:val="ListBullet"/>
        <w:keepLines w:val="1"/>
        <w:keepNext w:val="1"/>
        <w:widowControl w:val="1"/>
      </w:pPr>
      <w:r>
        <w:t>Cómo asumimos y cuantificamos el impacto.</w:t>
      </w:r>
    </w:p>
    <w:p>
      <w:pPr>
        <w:pStyle w:val="ListBullet"/>
        <w:keepLines w:val="1"/>
        <w:keepNext w:val="1"/>
        <w:widowControl w:val="1"/>
      </w:pPr>
      <w:r>
        <w:t>Cómo aprendemos y enseñamos.</w:t>
      </w:r>
    </w:p>
    <w:p>
      <w:pPr>
        <w:pStyle w:val="ListBullet"/>
        <w:keepLines w:val="1"/>
        <w:widowControl w:val="1"/>
      </w:pPr>
      <w:r>
        <w:t>Cómo evaluamos y corregimos.</w:t>
      </w:r>
    </w:p>
    <w:p>
      <w:r>
        <w:t>A partir de ahí, cada organización decide si la TRIKE es un marco útil o un espejo demasiado sincero.</w:t>
      </w:r>
      <w:r/>
      <w:r>
        <w:br/>
        <w:t>Nosotros, al menos, prometemos no culpar al espejo.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