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de Preguntas de la Encuesta TRIKE</w:t>
      </w:r>
    </w:p>
    <w:p>
      <w:pPr>
        <w:pStyle w:val="Heading2"/>
        <w:keepNext/>
        <w:keepLines/>
      </w:pPr>
      <w:r>
        <w:rPr>
          <w:color w:val="0066CC"/>
        </w:rPr>
        <w:t>Relación con NIS2, normativa española y guías técnicas</w:t>
      </w:r>
    </w:p>
    <w:p>
      <w:r>
        <w:t>Nota: este mapeo se centra en NIS2, su transposición prevista en España y guías técnicas de ENISA, complementadas con otros marcos relevantes (ENS, ISO 27001, etc.). [web:17][web:20][web:23]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normativas / marcos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P0.x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Identificación de organización, sector, tamaño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art. 2–3 (ámbito de aplicación), Anteproyecto Ley Coordinación y Gobernanza (definición de entidades esenciales e importantes) [web:17][web:20]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Permite clasificar a las entidades según su potencial inclusión en el régimen NIS2 y otras obligaciones sectoriales.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P1.1–P1.3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Catálogo y actualización de amenazas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art. 21 (medidas de gestión de riesgos), ENISA Guidance on Cybersecurity Risk Management [web:23]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 identificación sistemática de amenazas es requisito básico de la gestión de riesgos.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P1.4–P1.6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Modelado de amenazas y metodologías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ISACA Threat Modeling Revisited, buenas prácticas de threat modeling [web:14][web:21]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Facilita el cumplimiento de requisitos de análisis de riesgos avanzados, sin imponer una metodología específica.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P1.7–P1.8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 de amenaza y benchmarking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risk management guidance, NIS2 reporting and oversight expectations [web:23]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Ayuda a generar indicadores clave para supervisores y para comparativas sectoriales.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P2.1–P2.2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Marco de gestión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art. 21, ISO 27001/27005, ENS [web:23]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 la existencia de un sistema formal de gestión de riesgos de ciberseguridad.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P2.3–P2.4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Cuantificación y vínculo con decisiones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guidance, prácticas FAIR, expectativas de gobernanza de NIS2 [web:23][web:25]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 capacidad de cuantificar y vincular riesgo a decisiones es central para la gobernanza efectiva.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P2.5–P2.6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Ciberseguro y transferencia de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Prácticas de mercado y guías de gestión de riesgos; alineado con visión de resiliencia financiera [web:22][web:6]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 transferencia de riesgo no es exigida por NIS2, pero se considera medida de madurez.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P3.1–P3.3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Medición de impacto económico y operacional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art. 23 (gestión de incidentes), ENISA incident reporting [web:23]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La capacidad de evaluar impacto es crucial para la priorización y reporte.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P3.4–P3.6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Impacto reputacional, regulatorio y sistémico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art. 20–21 (gobernanza y gestión de riesgos), RGPD (sanciones), marcos sectoriales [web:17][web:23]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 la visión holística del impacto más allá del sistema aislado.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P4.1–P4.3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Inteligencia de amenazas y lecciones aprendidas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ISACA threat-led programs, ENISA guidance on threat intelligence [web:25][web:23]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Alineado con la exigencia de mejora continua y anticipación de amenazas.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P4.4–P4.5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Formación y cultura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art. 20 (responsabilidad de la dirección y formación), ENS [web:17][web:23]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 la implantación de programas de concienciación y cultura de seguridad.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P5.1–P5.3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de controles y modelos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art. 21 (medidas técnicas y organizativas), ENISA risk management [web:23]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el grado de implementación de ciclos de mejora y verificación de eficacia.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P5.4–P5.6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Cumplimiento, auditorías y alineamiento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art. 29–32 (supervisión y cumplimiento), Anteproyecto Ley Coordinación y Gobernanza [web:17][web:20]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Evalúa la preparación ante la supervisión por autoridades competentes y el rol de auditorías.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P6.1–P6.3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Cuadros de mando e índices de madurez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(gobernanza y supervisión), buenas prácticas de gestión de riesgos [web:23][web:16]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Favorece la toma de decisiones informada a nivel de alta dirección.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P6.4–P6.5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ROI y narrativa de inversión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obligado explícitamente por NIS2, pero clave para la sostenibilidad de las medidas [web:16][web:25]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Contribuye a alinear seguridad con objetivos de negocio y resiliencia estratégica.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P7.1–P7.3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Obstáculos y prioridades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ISACA, ENISA – enfoque en barreras estructurales y cultura [web:16][web:28]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Aporta información cualitativa para políticas públicas, programas de apoyo y roadmap de mejora.</w:t>
            </w:r>
          </w:p>
        </w:tc>
      </w:tr>
    </w:tbl>
    <w:p/>
    <w:p>
      <w:r>
        <w:t>Este mapeo puede ampliarse con referencias específicas por sector (sanitario, financiero, transporte, etc.) en función del público objetivo.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