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Normativo Detallado – Métricas GQM/PRAGMATIC</w:t>
      </w:r>
    </w:p>
    <w:p>
      <w:pPr>
        <w:pStyle w:val="Heading2"/>
        <w:keepNext/>
        <w:keepLines/>
      </w:pPr>
      <w:r>
        <w:rPr>
          <w:color w:val="0066CC"/>
        </w:rPr>
        <w:t>1. Introducción</w:t>
      </w:r>
    </w:p>
    <w:p>
      <w:r>
        <w:t>Este documento relaciona cada métrica TRIKE definida mediante GQM con los requisitos normativos principales (NIS2, guías ENISA, marco legal español de ciberseguridad y referencias complementarias). [web:23][web:41][web:44]</w:t>
      </w:r>
    </w:p>
    <w:p>
      <w:pPr>
        <w:pStyle w:val="Heading2"/>
        <w:keepNext/>
        <w:keepLines/>
      </w:pPr>
      <w:r>
        <w:rPr>
          <w:color w:val="0066CC"/>
        </w:rPr>
        <w:t>2. Tabla de mapeo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Código Métrica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Dimensión TRIKE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Referencias normativas / marcos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T1.1.a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Incidentes de ciberseguridad por 100.000 hab. y sector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Threat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art. 23 (gestión y notificación de incidentes), ENISA Threat Landscape, guías nacionales de reporte (INCIBE, CCN-CERT) [web:23][web:22][web:46]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Facilita análisis de exposición por sector y territorio, clave para planes nacionales.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T1.1.b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Incidentes significativos NIS2 por tipo de entidad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Threat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art. 3–4 (ámbito y entidades), art. 23–30 (notificación y supervisión), Anteproyecto Ley Coordinación y Gobernanza [web:17][web:41][web:44]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Métrica central para supervisores nacionales y para la UE.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T1.2.a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% incidentes atribuidos a APT/eCrime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Threat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ENISA Threat Landscape, NIS2 (enfoque basado en riesgo y amenazas avanzadas) [web:46][web:23]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Informativa para priorizar capacidades de defensa avanzada y cooperación internacional.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T1.2.b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% ataques malware-free / IA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Threat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ENISA, informes de mercado sobre tendencias de ataque, guías NIS2 sobre gestión de riesgos emergentes [web:13][web:46][web:43]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Orienta inversiones en detección basada en comportamiento e IA.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T1.3.a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Incidentes derivados de proveedores críticos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Threat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art. 21.2(d) (seguridad de la cadena de suministro), ENISA supply chain guidance [web:23][web:43]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Directamente vinculado a la obligación de gestionar riesgos de terceros.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T1.3.b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% vulns de cadena de suministro SW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Threat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NIS2, guías sobre gestión de vulnerabilidades y SBOM, marcos de desarrollo seguro [web:23]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Apoya políticas nacionales sobre software crítico y dependencia de terceros.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R1.1.a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Pérdida económica esperada por 1.000 M€ VA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Risk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art. 21 (gestión de riesgos), ENISA technical guidance (evaluación de riesgo e impacto) [web:23][web:43]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Alinea análisis de riesgo con impacto macroeconómico sectorial.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R1.2.a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% entidades con riesgo cuantitativo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Risk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ENISA guidance, buenas prácticas (FAIR), NIS2 (criterios de riesgo) [web:23][web:25]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Indica grado de sofisticación en la gestión de riesgos, relevante para supervisión.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R1.3.a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Ratio incidentes/entidad por categoría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Risk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art. 2–3, clasificación de entidades, informes nacionales de ciberseguridad [web:17][web:16]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Facilita priorización de inspecciones y programas de apoyo.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R1.3.b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Pérdida media por incidente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Risk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ENISA, guías de gestión de incidentes y continuidad, prácticas de mercado de ciberseguro [web:23][web:22]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Apoya la estimación de riesgos residuales y la planificación de coberturas.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I1.1.a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Duración media de indisponibilidad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Impact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art. 21, 23 (continuidad de servicios esenciales), ENISA BCM guidance [web:23][web:43]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Métrica clave de resiliencia y continuidad, de alto interés para reguladores sectoriales.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I1.2.a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Coste medio de incidentes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Impact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(proporcionalidad de medidas), análisis de impacto, guías de supervisión [web:23][web:16]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Permite sopesar el coste de no actuar vs. coste de medidas.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I1.2.b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P90/P95 impacto de incidentes graves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Impact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Marcos de riesgo financiero y de seguros, NIS2 (riesgos de alta magnitud) [web:23]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Complementa medias, capturando colas de distribución relevantes para resiliencia.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I1.3.a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Nº usuarios/ciudadanos afectados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Impact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NIS2, RGPD (afectación a interesados), guías de notificación de brechas [web:23][web:22]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Métrica políticamente sensible y central para la confianza digital.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I1.3.b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Nº y cuantía de sanciones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Impact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art. 34–36 (sanciones), RGPD (régimen sancionador) [web:44]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Refleja el grado de cumplimiento y la severidad de incumplimientos.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K1.1.a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% entidades con threat intel formal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Knowledge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art. 21 (uso de inteligencia de amenazas implícito en gestión de riesgos), ENISA guidance [web:23][web:40]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Indica capacidad de anticipación y madurez en gestión proactiva.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K1.2.a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% incidentes con post-mortem documentado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Knowledge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ENISA guidance (lecciones aprendidas, mejora continua), ISACA threat-led programs [web:25][web:23]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Métrica de cultura de aprendizaje y de calidad de gestión de incidentes.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K1.3.a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Profesionales cert. /100.000 hab.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Knowledge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ECSF, NIS2 (capacidades y formación), políticas de talento [web:40][web:16]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Refleja disponibilidad de capacidades estructurales para cumplir obligaciones.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K1.3.b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Ratio vacantes/puestos ECSF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Knowledge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ECSF, estrategias nacionales de capacidades digitales [web:40]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Mide la brecha de talento como riesgo sistémico.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E1.1.a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% entidades con revisión anual de controles/modelos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Evaluation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art. 21 (políticas y procedimientos de evaluación de eficacia), ENISA guidance [web:23][web:43]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Directamente alineada con la obligación de revisar la eficacia de medidas.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E1.2.a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% entidades con alto alineamiento 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Evaluation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NIS2, Anteproyecto Ley Coordinación y Gobernanza [web:41][web:44]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Termómetro de cumplimiento percibido, a contrastar con hallazgos objetivos.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E1.2.b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Nº hallazgos de supervisión por categoría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Evaluation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art. 29–32 (supervisión y enforcement) [web:44][web:43]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Métrica dura del estado real de cumplimiento y de la presión supervisora.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E1.3.a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% entidades que vinculan auditoría a recursos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Evaluation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NIS2 (gobernanza y responsabilidad de dirección), buenas prácticas de gobierno corporativo [web:41][web:16]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Indica si las auditorías cambian la realidad o solo generan informes.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